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74930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111125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16" w:lineRule="exact"/>
        <w:rPr>
          <w:sz w:val="24"/>
          <w:szCs w:val="24"/>
          <w:color w:val="auto"/>
        </w:rPr>
      </w:pPr>
    </w:p>
    <w:p>
      <w:pPr>
        <w:ind w:left="660" w:right="400" w:hanging="634"/>
        <w:spacing w:after="0" w:line="247"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660" w:right="40" w:hanging="634"/>
        <w:spacing w:after="0" w:line="247" w:lineRule="auto"/>
        <w:tabs>
          <w:tab w:leader="none" w:pos="6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1-32961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CBIZ,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organization)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5959 Rockside Woods, N. Suite 600 Independence, Ohio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22-2769024</w:t>
      </w:r>
    </w:p>
    <w:p>
      <w:pPr>
        <w:spacing w:after="0" w:line="33"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Identification No.)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44131</w:t>
      </w:r>
    </w:p>
    <w:p>
      <w:pPr>
        <w:spacing w:after="0" w:line="33"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(Zip Code)</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(216) 447-9000</w:t>
      </w:r>
    </w:p>
    <w:p>
      <w:pPr>
        <w:spacing w:after="0" w:line="15"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(Registrant’s telephone number, including area code)</w:t>
      </w:r>
    </w:p>
    <w:p>
      <w:pPr>
        <w:spacing w:after="0" w:line="15"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83185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9" w:lineRule="exact"/>
        <w:rPr>
          <w:sz w:val="24"/>
          <w:szCs w:val="24"/>
          <w:color w:val="auto"/>
        </w:rPr>
      </w:pPr>
    </w:p>
    <w:tbl>
      <w:tblPr>
        <w:tblLayout w:type="fixed"/>
        <w:tblInd w:w="30" w:type="dxa"/>
        <w:tblCellMar>
          <w:top w:w="0" w:type="dxa"/>
          <w:left w:w="0" w:type="dxa"/>
          <w:bottom w:w="0" w:type="dxa"/>
          <w:right w:w="0" w:type="dxa"/>
        </w:tblCellMar>
      </w:tblPr>
      <w:tr>
        <w:trPr>
          <w:trHeight w:val="20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CBZ</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28"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28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30"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1" w:lineRule="exact"/>
        <w:rPr>
          <w:sz w:val="24"/>
          <w:szCs w:val="24"/>
          <w:color w:val="auto"/>
        </w:rPr>
      </w:pPr>
    </w:p>
    <w:p>
      <w:pPr>
        <w:spacing w:after="0" w:line="161" w:lineRule="exact"/>
        <w:tabs>
          <w:tab w:leader="none" w:pos="7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Class of Common Stock</w:t>
            </w:r>
          </w:p>
        </w:tc>
        <w:tc>
          <w:tcPr>
            <w:tcW w:w="3880" w:type="dxa"/>
            <w:vAlign w:val="bottom"/>
          </w:tcPr>
          <w:p>
            <w:pPr>
              <w:spacing w:after="0"/>
              <w:rPr>
                <w:sz w:val="14"/>
                <w:szCs w:val="14"/>
                <w:color w:val="auto"/>
              </w:rPr>
            </w:pPr>
          </w:p>
        </w:tc>
        <w:tc>
          <w:tcPr>
            <w:tcW w:w="3780" w:type="dxa"/>
            <w:vAlign w:val="bottom"/>
            <w:gridSpan w:val="3"/>
          </w:tcPr>
          <w:p>
            <w:pPr>
              <w:jc w:val="center"/>
              <w:ind w:right="1900"/>
              <w:spacing w:after="0"/>
              <w:rPr>
                <w:sz w:val="20"/>
                <w:szCs w:val="20"/>
                <w:color w:val="auto"/>
              </w:rPr>
            </w:pPr>
            <w:r>
              <w:rPr>
                <w:rFonts w:ascii="Arial" w:cs="Arial" w:eastAsia="Arial" w:hAnsi="Arial"/>
                <w:sz w:val="14"/>
                <w:szCs w:val="14"/>
                <w:color w:val="auto"/>
              </w:rPr>
              <w:t>Outstanding at April 27, 2026</w:t>
            </w:r>
          </w:p>
        </w:tc>
      </w:tr>
      <w:tr>
        <w:trPr>
          <w:trHeight w:val="20"/>
        </w:trPr>
        <w:tc>
          <w:tcPr>
            <w:tcW w:w="2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7460" w:type="dxa"/>
            <w:vAlign w:val="bottom"/>
            <w:gridSpan w:val="3"/>
          </w:tcPr>
          <w:p>
            <w:pPr>
              <w:jc w:val="center"/>
              <w:ind w:right="1840"/>
              <w:spacing w:after="0"/>
              <w:rPr>
                <w:sz w:val="20"/>
                <w:szCs w:val="20"/>
                <w:color w:val="auto"/>
              </w:rPr>
            </w:pPr>
            <w:r>
              <w:rPr>
                <w:rFonts w:ascii="Arial" w:cs="Arial" w:eastAsia="Arial" w:hAnsi="Arial"/>
                <w:sz w:val="14"/>
                <w:szCs w:val="14"/>
                <w:color w:val="auto"/>
              </w:rPr>
              <w:t>Common Stock, $0.01 par value</w:t>
            </w:r>
          </w:p>
        </w:tc>
        <w:tc>
          <w:tcPr>
            <w:tcW w:w="1860" w:type="dxa"/>
            <w:vAlign w:val="bottom"/>
          </w:tcPr>
          <w:p>
            <w:pPr>
              <w:jc w:val="right"/>
              <w:ind w:right="488"/>
              <w:spacing w:after="0"/>
              <w:rPr>
                <w:sz w:val="20"/>
                <w:szCs w:val="20"/>
                <w:color w:val="auto"/>
              </w:rPr>
            </w:pPr>
            <w:r>
              <w:rPr>
                <w:rFonts w:ascii="Arial" w:cs="Arial" w:eastAsia="Arial" w:hAnsi="Arial"/>
                <w:sz w:val="14"/>
                <w:szCs w:val="14"/>
                <w:color w:val="auto"/>
              </w:rPr>
              <w:t>53,648,732</w:t>
            </w: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7"/>
        </w:trPr>
        <w:tc>
          <w:tcPr>
            <w:tcW w:w="20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568"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0000FF"/>
                <w:w w:val="91"/>
              </w:rPr>
              <w:t>PART I.</w:t>
            </w:r>
          </w:p>
        </w:tc>
        <w:tc>
          <w:tcPr>
            <w:tcW w:w="480" w:type="dxa"/>
            <w:vAlign w:val="bottom"/>
          </w:tcPr>
          <w:p>
            <w:pPr>
              <w:spacing w:after="0"/>
              <w:rPr>
                <w:sz w:val="17"/>
                <w:szCs w:val="17"/>
                <w:color w:val="auto"/>
              </w:rPr>
            </w:pPr>
          </w:p>
        </w:tc>
        <w:tc>
          <w:tcPr>
            <w:tcW w:w="9380" w:type="dxa"/>
            <w:vAlign w:val="bottom"/>
            <w:gridSpan w:val="24"/>
          </w:tcPr>
          <w:p>
            <w:pPr>
              <w:spacing w:after="0"/>
              <w:rPr>
                <w:sz w:val="20"/>
                <w:szCs w:val="20"/>
                <w:color w:val="auto"/>
              </w:rPr>
            </w:pPr>
            <w:r>
              <w:rPr>
                <w:rFonts w:ascii="Arial" w:cs="Arial" w:eastAsia="Arial" w:hAnsi="Arial"/>
                <w:sz w:val="18"/>
                <w:szCs w:val="18"/>
                <w:color w:val="0000FF"/>
              </w:rPr>
              <w:t>FINANCIAL INFORMATION:</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20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0000FF"/>
                <w:w w:val="98"/>
              </w:rPr>
              <w:t>Condensed Consolidated Balance Sheets (Unaudited) – March 31, 2026 and December 31, 2025</w:t>
            </w:r>
          </w:p>
        </w:tc>
        <w:tc>
          <w:tcPr>
            <w:tcW w:w="520" w:type="dxa"/>
            <w:vAlign w:val="bottom"/>
            <w:gridSpan w:val="3"/>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Income (Unaudited) – Three Months Ended</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March 31, 2026 and 2025</w:t>
            </w:r>
          </w:p>
        </w:tc>
        <w:tc>
          <w:tcPr>
            <w:tcW w:w="5860" w:type="dxa"/>
            <w:vAlign w:val="bottom"/>
            <w:tcBorders>
              <w:top w:val="single" w:sz="8" w:color="0000FF"/>
            </w:tcBorders>
            <w:gridSpan w:val="9"/>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(Unaudited) – Three Months Ended</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March 31, 2026 and 2025</w:t>
            </w:r>
          </w:p>
        </w:tc>
        <w:tc>
          <w:tcPr>
            <w:tcW w:w="5620" w:type="dxa"/>
            <w:vAlign w:val="bottom"/>
            <w:tcBorders>
              <w:top w:val="single" w:sz="8" w:color="0000FF"/>
            </w:tcBorders>
            <w:gridSpan w:val="7"/>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(Unaudited) – Three Months Ended March 31,</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80" w:type="dxa"/>
            <w:vAlign w:val="bottom"/>
            <w:tcBorders>
              <w:top w:val="single" w:sz="8" w:color="0000FF"/>
            </w:tcBorders>
            <w:gridSpan w:val="14"/>
          </w:tcPr>
          <w:p>
            <w:pPr>
              <w:spacing w:after="0" w:line="136" w:lineRule="exact"/>
              <w:rPr>
                <w:sz w:val="20"/>
                <w:szCs w:val="20"/>
                <w:color w:val="auto"/>
              </w:rPr>
            </w:pPr>
            <w:r>
              <w:rPr>
                <w:rFonts w:ascii="Arial" w:cs="Arial" w:eastAsia="Arial" w:hAnsi="Arial"/>
                <w:sz w:val="15"/>
                <w:szCs w:val="15"/>
                <w:color w:val="0000FF"/>
              </w:rPr>
              <w:t>2026 and 2025</w:t>
            </w:r>
          </w:p>
        </w:tc>
        <w:tc>
          <w:tcPr>
            <w:tcW w:w="40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gridSpan w:val="2"/>
          </w:tcPr>
          <w:p>
            <w:pPr>
              <w:spacing w:after="0"/>
              <w:rPr>
                <w:sz w:val="11"/>
                <w:szCs w:val="11"/>
                <w:color w:val="auto"/>
              </w:rPr>
            </w:pPr>
          </w:p>
        </w:tc>
        <w:tc>
          <w:tcPr>
            <w:tcW w:w="380" w:type="dxa"/>
            <w:vAlign w:val="bottom"/>
            <w:gridSpan w:val="2"/>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20" w:type="dxa"/>
            <w:vAlign w:val="bottom"/>
            <w:gridSpan w:val="2"/>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2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gridSpan w:val="2"/>
          </w:tcPr>
          <w:p>
            <w:pPr>
              <w:spacing w:after="0"/>
              <w:rPr>
                <w:sz w:val="20"/>
                <w:szCs w:val="20"/>
                <w:color w:val="auto"/>
              </w:rPr>
            </w:pPr>
            <w:r>
              <w:rPr>
                <w:rFonts w:ascii="Arial" w:cs="Arial" w:eastAsia="Arial" w:hAnsi="Arial"/>
                <w:sz w:val="18"/>
                <w:szCs w:val="18"/>
                <w:color w:val="0000FF"/>
              </w:rPr>
              <w:t>PART II.</w:t>
            </w:r>
          </w:p>
        </w:tc>
        <w:tc>
          <w:tcPr>
            <w:tcW w:w="93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520" w:type="dxa"/>
            <w:vAlign w:val="bottom"/>
            <w:gridSpan w:val="2"/>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2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20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4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2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0" w:right="37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18,290</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40,622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38,234</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769,442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555,995</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79,693</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assets before funds held for clients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916,421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692,212</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Funds held for clients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207,037</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1,069,283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899,249</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81,242</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2,856,166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2,869,790</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deferred compensation plan</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186,870</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Right-of-use assets, net</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408,593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334,048</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34,303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38,329</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non-current assets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3,560,677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3,510,279</w:t>
            </w: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4,629,960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4,409,528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86,743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90,934</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11,008</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Accrued personnel costs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120,240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197,534</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Contingent purchase price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30,035</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Lease liabilities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64,674</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Short-term debt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66,372</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68,299</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liabilities before client fund obligations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528,856</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Client fund obligations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206,738</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current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655,902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735,594</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1,461,203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1,389,552</w:t>
            </w:r>
          </w:p>
        </w:tc>
        <w:tc>
          <w:tcPr>
            <w:tcW w:w="0" w:type="dxa"/>
            <w:vAlign w:val="bottom"/>
          </w:tcPr>
          <w:p>
            <w:pPr>
              <w:spacing w:after="0"/>
              <w:rPr>
                <w:sz w:val="1"/>
                <w:szCs w:val="1"/>
                <w:color w:val="auto"/>
              </w:rPr>
            </w:pPr>
          </w:p>
        </w:tc>
      </w:tr>
      <w:tr>
        <w:trPr>
          <w:trHeight w:val="199"/>
        </w:trPr>
        <w:tc>
          <w:tcPr>
            <w:tcW w:w="706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net</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7,141</w:t>
            </w:r>
          </w:p>
        </w:tc>
        <w:tc>
          <w:tcPr>
            <w:tcW w:w="0" w:type="dxa"/>
            <w:vAlign w:val="bottom"/>
          </w:tcPr>
          <w:p>
            <w:pPr>
              <w:spacing w:after="0"/>
              <w:rPr>
                <w:sz w:val="1"/>
                <w:szCs w:val="1"/>
                <w:color w:val="auto"/>
              </w:rPr>
            </w:pPr>
          </w:p>
        </w:tc>
      </w:tr>
      <w:tr>
        <w:trPr>
          <w:trHeight w:val="199"/>
        </w:trPr>
        <w:tc>
          <w:tcPr>
            <w:tcW w:w="7060" w:type="dxa"/>
            <w:vAlign w:val="bottom"/>
          </w:tcPr>
          <w:p>
            <w:pPr>
              <w:ind w:left="20"/>
              <w:spacing w:after="0"/>
              <w:rPr>
                <w:sz w:val="20"/>
                <w:szCs w:val="20"/>
                <w:color w:val="auto"/>
              </w:rPr>
            </w:pPr>
            <w:r>
              <w:rPr>
                <w:rFonts w:ascii="Arial" w:cs="Arial" w:eastAsia="Arial" w:hAnsi="Arial"/>
                <w:sz w:val="14"/>
                <w:szCs w:val="14"/>
                <w:color w:val="auto"/>
              </w:rPr>
              <w:t>Deferred compensation plan obligations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181,515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186,870</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purchase price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395,356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307,905</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7,177</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non-current liabilities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2,079,882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1,911,867</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liabilities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2,735,784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2,647,461</w:t>
            </w:r>
          </w:p>
        </w:tc>
        <w:tc>
          <w:tcPr>
            <w:tcW w:w="0" w:type="dxa"/>
            <w:vAlign w:val="bottom"/>
          </w:tcPr>
          <w:p>
            <w:pPr>
              <w:spacing w:after="0"/>
              <w:rPr>
                <w:sz w:val="1"/>
                <w:szCs w:val="1"/>
                <w:color w:val="auto"/>
              </w:rPr>
            </w:pPr>
          </w:p>
        </w:tc>
      </w:tr>
      <w:tr>
        <w:trPr>
          <w:trHeight w:val="202"/>
        </w:trPr>
        <w:tc>
          <w:tcPr>
            <w:tcW w:w="7060" w:type="dxa"/>
            <w:vAlign w:val="bottom"/>
          </w:tcPr>
          <w:p>
            <w:pPr>
              <w:jc w:val="center"/>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1,831,208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1,830,866</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1,173,178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1,011,566</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(1,110,111)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(1,078,521)</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stockholders’ equity</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1,894,176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1,762,067</w:t>
            </w: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4,629,960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4,409,528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27"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5. Debt and Financing Arrangements for further discussion of the short-term and long-term debt.</w:t>
      </w:r>
    </w:p>
    <w:p>
      <w:pPr>
        <w:sectPr>
          <w:pgSz w:w="11900" w:h="16838" w:orient="portrait"/>
          <w:cols w:equalWidth="0" w:num="1">
            <w:col w:w="10880"/>
          </w:cols>
          <w:pgMar w:left="320" w:top="890" w:right="6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90" w:right="6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848,579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838,014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609,912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228,102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200,032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Gain from acquisition related adjustments,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172,910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50,137</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161,612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122,773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29"/>
        </w:trPr>
        <w:tc>
          <w:tcPr>
            <w:tcW w:w="8240" w:type="dxa"/>
            <w:vAlign w:val="bottom"/>
          </w:tcPr>
          <w:p>
            <w:pPr>
              <w:ind w:left="100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54"/>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61,537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64,142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161,612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122,773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121,538</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9"/>
              </w:rPr>
              <w:t>Stock</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Stock</w:t>
            </w: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(Loss) Income</w:t>
            </w: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144,654</w:t>
            </w: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90,274</w:t>
            </w:r>
          </w:p>
        </w:tc>
        <w:tc>
          <w:tcPr>
            <w:tcW w:w="180" w:type="dxa"/>
            <w:vAlign w:val="bottom"/>
            <w:tcBorders>
              <w:right w:val="single" w:sz="8" w:color="auto"/>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1,447</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$1,830,866</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96"/>
              </w:rPr>
              <w:t>$ 1,011,566</w:t>
            </w:r>
          </w:p>
        </w:tc>
        <w:tc>
          <w:tcPr>
            <w:tcW w:w="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 (1,078,521)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(3,291)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b w:val="1"/>
                <w:bCs w:val="1"/>
                <w:color w:val="auto"/>
              </w:rPr>
              <w:t>$1,762,067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
              <w:spacing w:after="0"/>
              <w:rPr>
                <w:sz w:val="20"/>
                <w:szCs w:val="20"/>
                <w:color w:val="auto"/>
              </w:rPr>
            </w:pPr>
            <w:r>
              <w:rPr>
                <w:rFonts w:ascii="Arial" w:cs="Arial" w:eastAsia="Arial" w:hAnsi="Arial"/>
                <w:sz w:val="16"/>
                <w:szCs w:val="16"/>
                <w:color w:val="auto"/>
              </w:rPr>
              <w:t>161,612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161,612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Share repurchases</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1,079</w:t>
            </w:r>
          </w:p>
        </w:tc>
        <w:tc>
          <w:tcPr>
            <w:tcW w:w="1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(28,963)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(28,963)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withholding</w:t>
            </w:r>
          </w:p>
        </w:tc>
        <w:tc>
          <w:tcPr>
            <w:tcW w:w="8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3"/>
              <w:spacing w:after="0"/>
              <w:rPr>
                <w:sz w:val="20"/>
                <w:szCs w:val="20"/>
                <w:color w:val="auto"/>
              </w:rPr>
            </w:pPr>
            <w:r>
              <w:rPr>
                <w:rFonts w:ascii="Arial" w:cs="Arial" w:eastAsia="Arial" w:hAnsi="Arial"/>
                <w:sz w:val="16"/>
                <w:szCs w:val="16"/>
                <w:color w:val="auto"/>
              </w:rPr>
              <w:t>7,530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
              <w:spacing w:after="0"/>
              <w:rPr>
                <w:sz w:val="20"/>
                <w:szCs w:val="20"/>
                <w:color w:val="auto"/>
              </w:rPr>
            </w:pPr>
            <w:r>
              <w:rPr>
                <w:rFonts w:ascii="Arial" w:cs="Arial" w:eastAsia="Arial" w:hAnsi="Arial"/>
                <w:sz w:val="16"/>
                <w:szCs w:val="16"/>
                <w:color w:val="auto"/>
              </w:rPr>
              <w:t>7,530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Business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March 31, 2026</w:t>
            </w: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145,734</w:t>
            </w:r>
          </w:p>
        </w:tc>
        <w:tc>
          <w:tcPr>
            <w:tcW w:w="8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91,435</w:t>
            </w:r>
          </w:p>
        </w:tc>
        <w:tc>
          <w:tcPr>
            <w:tcW w:w="180" w:type="dxa"/>
            <w:vAlign w:val="bottom"/>
            <w:tcBorders>
              <w:right w:val="single" w:sz="8" w:color="auto"/>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1,458</w:t>
            </w:r>
          </w:p>
        </w:tc>
        <w:tc>
          <w:tcPr>
            <w:tcW w:w="80" w:type="dxa"/>
            <w:vAlign w:val="bottom"/>
          </w:tcPr>
          <w:p>
            <w:pPr>
              <w:spacing w:after="0"/>
              <w:rPr>
                <w:sz w:val="21"/>
                <w:szCs w:val="21"/>
                <w:color w:val="auto"/>
              </w:rPr>
            </w:pPr>
          </w:p>
        </w:tc>
        <w:tc>
          <w:tcPr>
            <w:tcW w:w="920" w:type="dxa"/>
            <w:vAlign w:val="bottom"/>
            <w:tcBorders>
              <w:top w:val="single" w:sz="8" w:color="auto"/>
              <w:bottom w:val="single" w:sz="8" w:color="auto"/>
            </w:tcBorders>
            <w:gridSpan w:val="3"/>
          </w:tcPr>
          <w:p>
            <w:pPr>
              <w:jc w:val="right"/>
              <w:ind w:right="3"/>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1,831,208</w:t>
            </w:r>
          </w:p>
        </w:tc>
        <w:tc>
          <w:tcPr>
            <w:tcW w:w="80" w:type="dxa"/>
            <w:vAlign w:val="bottom"/>
          </w:tcPr>
          <w:p>
            <w:pPr>
              <w:spacing w:after="0"/>
              <w:rPr>
                <w:sz w:val="21"/>
                <w:szCs w:val="21"/>
                <w:color w:val="auto"/>
              </w:rPr>
            </w:pPr>
          </w:p>
        </w:tc>
        <w:tc>
          <w:tcPr>
            <w:tcW w:w="92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1,173,178</w:t>
            </w: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8"/>
              </w:rPr>
              <w:t>$ (1,110,111)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1,894,176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9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2024</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137,945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87,747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1,380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$1,791,863</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896,122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(910,601)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$1,779,983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60"/>
              <w:spacing w:after="0"/>
              <w:rPr>
                <w:sz w:val="20"/>
                <w:szCs w:val="20"/>
                <w:color w:val="auto"/>
              </w:rPr>
            </w:pPr>
            <w:r>
              <w:rPr>
                <w:rFonts w:ascii="Arial" w:cs="Arial" w:eastAsia="Arial" w:hAnsi="Arial"/>
                <w:sz w:val="16"/>
                <w:szCs w:val="16"/>
                <w:color w:val="auto"/>
              </w:rPr>
              <w:t>122,773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122,773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 net of tax</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spacing w:after="0" w:line="162" w:lineRule="exact"/>
              <w:rPr>
                <w:sz w:val="20"/>
                <w:szCs w:val="20"/>
                <w:color w:val="auto"/>
              </w:rPr>
            </w:pPr>
            <w:r>
              <w:rPr>
                <w:rFonts w:ascii="Arial" w:cs="Arial" w:eastAsia="Arial" w:hAnsi="Arial"/>
                <w:sz w:val="16"/>
                <w:szCs w:val="16"/>
                <w:color w:val="auto"/>
              </w:rPr>
              <w:t>Indirect repurchase of shares for minimum tax</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3"/>
            <w:vMerge w:val="restart"/>
          </w:tcPr>
          <w:p>
            <w:pPr>
              <w:jc w:val="right"/>
              <w:ind w:right="160"/>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tcPr>
          <w:p>
            <w:pPr>
              <w:jc w:val="right"/>
              <w:spacing w:after="0"/>
              <w:rPr>
                <w:sz w:val="20"/>
                <w:szCs w:val="20"/>
                <w:color w:val="auto"/>
              </w:rPr>
            </w:pPr>
            <w:r>
              <w:rPr>
                <w:rFonts w:ascii="Arial" w:cs="Arial" w:eastAsia="Arial" w:hAnsi="Arial"/>
                <w:sz w:val="16"/>
                <w:szCs w:val="16"/>
                <w:color w:val="auto"/>
              </w:rPr>
              <w:t>(7,726)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withholding</w:t>
            </w:r>
          </w:p>
        </w:tc>
        <w:tc>
          <w:tcPr>
            <w:tcW w:w="800" w:type="dxa"/>
            <w:vAlign w:val="bottom"/>
            <w:gridSpan w:val="2"/>
            <w:vMerge w:val="continue"/>
          </w:tcPr>
          <w:p>
            <w:pPr>
              <w:spacing w:after="0"/>
              <w:rPr>
                <w:sz w:val="18"/>
                <w:szCs w:val="18"/>
                <w:color w:val="auto"/>
              </w:rPr>
            </w:pPr>
          </w:p>
        </w:tc>
        <w:tc>
          <w:tcPr>
            <w:tcW w:w="980" w:type="dxa"/>
            <w:vAlign w:val="bottom"/>
            <w:tcBorders>
              <w:right w:val="single" w:sz="8" w:color="auto"/>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units and awards</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Performance share units</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5,639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Business acquisitions</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3,777</w:t>
            </w:r>
          </w:p>
        </w:tc>
        <w:tc>
          <w:tcPr>
            <w:tcW w:w="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1000" w:type="dxa"/>
            <w:vAlign w:val="bottom"/>
            <w:gridSpan w:val="4"/>
          </w:tcPr>
          <w:p>
            <w:pPr>
              <w:jc w:val="right"/>
              <w:ind w:right="60"/>
              <w:spacing w:after="0"/>
              <w:rPr>
                <w:sz w:val="20"/>
                <w:szCs w:val="20"/>
                <w:color w:val="auto"/>
              </w:rPr>
            </w:pPr>
            <w:r>
              <w:rPr>
                <w:rFonts w:ascii="Arial" w:cs="Arial" w:eastAsia="Arial" w:hAnsi="Arial"/>
                <w:sz w:val="16"/>
                <w:szCs w:val="16"/>
                <w:color w:val="auto"/>
              </w:rPr>
              <w:t>15,229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15,267</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March 31, 2025</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141,924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87,835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1,420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1,812,729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1,018,895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(918,327)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1,914,701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5" w:name="page6"/>
    <w:bookmarkEnd w:id="5"/>
    <w:p>
      <w:pPr>
        <w:ind w:left="4620"/>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r>
      <w:tr>
        <w:trPr>
          <w:trHeight w:val="191"/>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Net income</w:t>
            </w:r>
          </w:p>
        </w:tc>
        <w:tc>
          <w:tcPr>
            <w:tcW w:w="49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161,612</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122,773</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Adjustments to reconcile net income to net cash used in operating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24,791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Bad debt expense, net of recoveries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Adjustment to contingent purchase price liabilities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4,320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receivable, net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(214,671)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(201,258)</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11,985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45,626</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Accrued personnel costs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(84,642)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(10,438)</w:t>
            </w:r>
          </w:p>
        </w:tc>
      </w:tr>
      <w:tr>
        <w:trPr>
          <w:trHeight w:val="209"/>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(88,266)</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940" w:type="dxa"/>
            <w:vAlign w:val="bottom"/>
            <w:tcBorders>
              <w:bottom w:val="single" w:sz="8" w:color="CCEEFF"/>
            </w:tcBorders>
            <w:gridSpan w:val="2"/>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client fund investments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8,410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sales of divested operations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Change in funds held for clients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Additions to property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(4,961)</w:t>
            </w:r>
          </w:p>
        </w:tc>
      </w:tr>
      <w:tr>
        <w:trPr>
          <w:trHeight w:val="156"/>
        </w:trPr>
        <w:tc>
          <w:tcPr>
            <w:tcW w:w="20" w:type="dxa"/>
            <w:vAlign w:val="bottom"/>
          </w:tcPr>
          <w:p>
            <w:pPr>
              <w:spacing w:after="0"/>
              <w:rPr>
                <w:sz w:val="13"/>
                <w:szCs w:val="13"/>
                <w:color w:val="auto"/>
              </w:rPr>
            </w:pPr>
          </w:p>
        </w:tc>
        <w:tc>
          <w:tcPr>
            <w:tcW w:w="77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bank debt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Payment of bank debt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(171,600)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(358,100)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for acquisition of treasury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(7,555)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Changes in client funds obligations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(35,062)</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Payment of contingent consideration for acquisitions and client lists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(29,520)</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55,363</w:t>
            </w: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(41,012)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(37,864)</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187,170</w:t>
            </w:r>
          </w:p>
        </w:tc>
      </w:tr>
      <w:tr>
        <w:trPr>
          <w:trHeight w:val="210"/>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177,078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40,777</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equivalents included in funds held for clients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99,679</w:t>
            </w:r>
          </w:p>
        </w:tc>
      </w:tr>
      <w:tr>
        <w:trPr>
          <w:trHeight w:val="210"/>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177,078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149,306</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Selected Terms Used in Notes to the Condensed Consolidated Financial Statements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ASA – </w:t>
      </w:r>
      <w:r>
        <w:rPr>
          <w:rFonts w:ascii="Arial" w:cs="Arial" w:eastAsia="Arial" w:hAnsi="Arial"/>
          <w:sz w:val="18"/>
          <w:szCs w:val="18"/>
          <w:color w:val="auto"/>
        </w:rPr>
        <w:t>Administrative Service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ASC – </w:t>
      </w:r>
      <w:r>
        <w:rPr>
          <w:rFonts w:ascii="Arial" w:cs="Arial" w:eastAsia="Arial" w:hAnsi="Arial"/>
          <w:sz w:val="18"/>
          <w:szCs w:val="18"/>
          <w:color w:val="auto"/>
        </w:rPr>
        <w:t>Accounting Standards Codification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ASU – </w:t>
      </w:r>
      <w:r>
        <w:rPr>
          <w:rFonts w:ascii="Arial" w:cs="Arial" w:eastAsia="Arial" w:hAnsi="Arial"/>
          <w:sz w:val="18"/>
          <w:szCs w:val="18"/>
          <w:color w:val="auto"/>
        </w:rPr>
        <w:t>Accounting Standards Update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CPA firm – </w:t>
      </w:r>
      <w:r>
        <w:rPr>
          <w:rFonts w:ascii="Arial" w:cs="Arial" w:eastAsia="Arial" w:hAnsi="Arial"/>
          <w:sz w:val="18"/>
          <w:szCs w:val="18"/>
          <w:color w:val="auto"/>
        </w:rPr>
        <w:t>Certified Public Accounting firm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FASB – </w:t>
      </w:r>
      <w:r>
        <w:rPr>
          <w:rFonts w:ascii="Arial" w:cs="Arial" w:eastAsia="Arial" w:hAnsi="Arial"/>
          <w:sz w:val="18"/>
          <w:szCs w:val="18"/>
          <w:color w:val="auto"/>
        </w:rPr>
        <w:t>The Financial Accounting Standards Board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GAAP – </w:t>
      </w:r>
      <w:r>
        <w:rPr>
          <w:rFonts w:ascii="Arial" w:cs="Arial" w:eastAsia="Arial" w:hAnsi="Arial"/>
          <w:sz w:val="18"/>
          <w:szCs w:val="18"/>
          <w:color w:val="auto"/>
        </w:rPr>
        <w:t>United States Generally Accepted Accounting Principles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SOFR – </w:t>
      </w:r>
      <w:r>
        <w:rPr>
          <w:rFonts w:ascii="Arial" w:cs="Arial" w:eastAsia="Arial" w:hAnsi="Arial"/>
          <w:sz w:val="18"/>
          <w:szCs w:val="18"/>
          <w:color w:val="auto"/>
        </w:rPr>
        <w:t>Secured Overnight Financing Rate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 –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b w:val="1"/>
          <w:bCs w:val="1"/>
          <w:color w:val="auto"/>
        </w:rPr>
        <w:t xml:space="preserve">Transaction – </w:t>
      </w:r>
      <w:r>
        <w:rPr>
          <w:rFonts w:ascii="Arial" w:cs="Arial" w:eastAsia="Arial" w:hAnsi="Arial"/>
          <w:sz w:val="18"/>
          <w:szCs w:val="18"/>
          <w:color w:val="auto"/>
        </w:rPr>
        <w:t>On November 1, 2024, the Company completed the acquisition of Marcum LLP (“Marcum”), an accounting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services firm headquartered in New York City with offices in major markets throughout the United States, to expand the breadth and depth of the Company’s professional services portfolio in the U.S. Pursuant to the Agreement and Plan of Merger dated July 30, 2024 (the “Merger Agreement”), a wholly owned subsidiary of the Company, merged with and into Marcum Advisory Group, a wholly owned subsidiary of Marcum ("MAG"), to which Marcum contributed substantially all of its non-attest business assets and liabilities, (the “Merger”), resulting in MAG surviving the Merger and becoming a wholly owned subsidiary of the Company. In a separate transaction, CBIZ CPAs P.C., with which the Company has an existing ASA, purchased from Marcum substantially all of Marcum’s attest business assets, subject to certain exclusions (the "Attest Purchase"). As noted in Note 1, Basis of Presentation and Significant Accounting Policies included in our Annual Report on Form 10-K for the year ended December 31, 2025, the Company does not consolidate certain CPA firms with whom we maintain ASAs, including CBIZ CPAs P.C., therefore, the Merger solely is referred to herein as the “Transaction.”</w:t>
      </w:r>
    </w:p>
    <w:p>
      <w:pPr>
        <w:spacing w:after="0" w:line="74" w:lineRule="exact"/>
        <w:rPr>
          <w:sz w:val="20"/>
          <w:szCs w:val="20"/>
          <w:color w:val="auto"/>
        </w:rPr>
      </w:pPr>
    </w:p>
    <w:p>
      <w:pPr>
        <w:ind w:left="980" w:right="40"/>
        <w:spacing w:after="0" w:line="25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CBIZ, Inc. is a leading professional services advisor to middle-market businesses nationwide. With</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knowledge and expertise in accounting, tax, advisory, benefits, insurance, and technology, CBIZ delivers actionable insights to help clients anticipate what is next and discover new ways to accelerate growth to clients throughout the United States and parts of Canada. Acting through its subsidiaries, it serves small and medium-sized businesses, as well as individuals, governmental entities, and not-for-profit enterprises.CBIZ manages and reports its operations along two practice groups: Financial Services Group and Benefits and Insurance Services Group. A further description of products and services offered by each of the practice groups is provided in Note 14, Segment Disclosures.</w:t>
      </w:r>
    </w:p>
    <w:p>
      <w:pPr>
        <w:spacing w:after="0" w:line="75"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The accompanying unaudited condensed consolidated financial statements include the operations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CBIZ, Inc. and all of its wholly-owned subsidiaries after elimination of all intercompany balances and transactions. We have determined that our relationship with certain CPA firms with which we maintain ASAs qualify as variable interest entities ("VIEs"), and we are the primary beneficiary of such VIEs. The accompanying unaudited condensed consolidated financial statements do not reflect the operations or accounts of the VIEs as the impact is not material to the financial condition, results of operations, or cash flows of CBIZ.</w:t>
      </w:r>
    </w:p>
    <w:p>
      <w:pPr>
        <w:spacing w:after="0" w:line="74"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b w:val="1"/>
          <w:bCs w:val="1"/>
          <w:color w:val="auto"/>
        </w:rPr>
        <w:t xml:space="preserve">Unaudited Interim Financial Statements: </w:t>
      </w:r>
      <w:r>
        <w:rPr>
          <w:rFonts w:ascii="Arial" w:cs="Arial" w:eastAsia="Arial" w:hAnsi="Arial"/>
          <w:sz w:val="18"/>
          <w:szCs w:val="18"/>
          <w:color w:val="auto"/>
        </w:rPr>
        <w:t>The unaudited condensed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2025.</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ind w:left="980"/>
        <w:spacing w:after="0" w:line="262" w:lineRule="auto"/>
        <w:rPr>
          <w:sz w:val="20"/>
          <w:szCs w:val="20"/>
          <w:color w:val="auto"/>
        </w:rPr>
      </w:pPr>
      <w:r>
        <w:rPr>
          <w:rFonts w:ascii="Arial" w:cs="Arial" w:eastAsia="Arial" w:hAnsi="Arial"/>
          <w:sz w:val="18"/>
          <w:szCs w:val="18"/>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2026.</w:t>
      </w:r>
    </w:p>
    <w:p>
      <w:pPr>
        <w:spacing w:after="0" w:line="68" w:lineRule="exact"/>
        <w:rPr>
          <w:sz w:val="20"/>
          <w:szCs w:val="20"/>
          <w:color w:val="auto"/>
        </w:rPr>
      </w:pPr>
    </w:p>
    <w:p>
      <w:pPr>
        <w:ind w:left="980" w:right="40"/>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make estimates and assumptions that affect the amounts reported and disclosed in the financial statements and the accompanying notes. Changes in circumstances could cause actual results to differ materially from these estimates.</w:t>
      </w:r>
    </w:p>
    <w:p>
      <w:pPr>
        <w:spacing w:after="0" w:line="63" w:lineRule="exact"/>
        <w:rPr>
          <w:sz w:val="20"/>
          <w:szCs w:val="20"/>
          <w:color w:val="auto"/>
        </w:rPr>
      </w:pPr>
    </w:p>
    <w:p>
      <w:pPr>
        <w:ind w:left="980" w:right="80"/>
        <w:spacing w:after="0" w:line="268" w:lineRule="auto"/>
        <w:rPr>
          <w:sz w:val="20"/>
          <w:szCs w:val="20"/>
          <w:color w:val="auto"/>
        </w:rPr>
      </w:pPr>
      <w:r>
        <w:rPr>
          <w:rFonts w:ascii="Arial" w:cs="Arial" w:eastAsia="Arial" w:hAnsi="Arial"/>
          <w:sz w:val="18"/>
          <w:szCs w:val="18"/>
          <w:b w:val="1"/>
          <w:bCs w:val="1"/>
          <w:color w:val="auto"/>
        </w:rPr>
        <w:t xml:space="preserve">Changes in Accounting Policies: </w:t>
      </w:r>
      <w:r>
        <w:rPr>
          <w:rFonts w:ascii="Arial" w:cs="Arial" w:eastAsia="Arial" w:hAnsi="Arial"/>
          <w:sz w:val="18"/>
          <w:szCs w:val="18"/>
          <w:color w:val="auto"/>
        </w:rPr>
        <w:t>We have consistently applied the accounting policies for the periods presented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Note 1, Basis of Presentation and Significant Accounting Policies, to the consolidated financial statements contained in our Annual Report on Form 10-K for the year ended December 31, 2025.</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Certain prior period amounts have been reclassified to conform to current year presentation.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117"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b w:val="1"/>
          <w:bCs w:val="1"/>
          <w:color w:val="auto"/>
        </w:rPr>
        <w:t xml:space="preserve">Recent Accounting Pronouncements - </w:t>
      </w:r>
      <w:r>
        <w:rPr>
          <w:rFonts w:ascii="Arial" w:cs="Arial" w:eastAsia="Arial" w:hAnsi="Arial"/>
          <w:sz w:val="18"/>
          <w:szCs w:val="18"/>
          <w:color w:val="auto"/>
        </w:rPr>
        <w:t>The FASB ASC is the sole source of authoritative GAAP other than the SEC issued</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spacing w:after="0" w:line="109" w:lineRule="exact"/>
        <w:rPr>
          <w:sz w:val="20"/>
          <w:szCs w:val="20"/>
          <w:color w:val="auto"/>
        </w:rPr>
      </w:pPr>
    </w:p>
    <w:p>
      <w:pPr>
        <w:ind w:left="980" w:right="60"/>
        <w:spacing w:after="0" w:line="302" w:lineRule="auto"/>
        <w:rPr>
          <w:sz w:val="20"/>
          <w:szCs w:val="20"/>
          <w:color w:val="auto"/>
        </w:rPr>
      </w:pPr>
      <w:r>
        <w:rPr>
          <w:rFonts w:ascii="Arial" w:cs="Arial" w:eastAsia="Arial" w:hAnsi="Arial"/>
          <w:sz w:val="18"/>
          <w:szCs w:val="18"/>
          <w:b w:val="1"/>
          <w:bCs w:val="1"/>
          <w:i w:val="1"/>
          <w:iCs w:val="1"/>
          <w:color w:val="auto"/>
        </w:rPr>
        <w:t xml:space="preserve">Accounting Standard Adopted in 2026 - </w:t>
      </w:r>
      <w:r>
        <w:rPr>
          <w:rFonts w:ascii="Arial" w:cs="Arial" w:eastAsia="Arial" w:hAnsi="Arial"/>
          <w:sz w:val="18"/>
          <w:szCs w:val="18"/>
          <w:color w:val="auto"/>
        </w:rPr>
        <w:t>In July 2025, the FASB issued ASU No. 2025-05, Financial Instruments-Credit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(Topic 326): Measurement of Credit Losses for Accounts Receivable and Contract Assets (“ASU 2025-05”). This standard introduces a practical expedient for all entities when estimating expected credit losses on current accounts receivable</w:t>
      </w:r>
    </w:p>
    <w:p>
      <w:pPr>
        <w:spacing w:after="0" w:line="2" w:lineRule="exact"/>
        <w:rPr>
          <w:sz w:val="20"/>
          <w:szCs w:val="20"/>
          <w:color w:val="auto"/>
        </w:rPr>
      </w:pPr>
    </w:p>
    <w:p>
      <w:pPr>
        <w:ind w:left="980" w:right="340"/>
        <w:spacing w:after="0" w:line="273" w:lineRule="auto"/>
        <w:rPr>
          <w:sz w:val="20"/>
          <w:szCs w:val="20"/>
          <w:color w:val="auto"/>
        </w:rPr>
      </w:pPr>
      <w:r>
        <w:rPr>
          <w:rFonts w:ascii="Arial" w:cs="Arial" w:eastAsia="Arial" w:hAnsi="Arial"/>
          <w:sz w:val="18"/>
          <w:szCs w:val="18"/>
          <w:color w:val="auto"/>
        </w:rPr>
        <w:t>and contract assets arising from transactions under ASC Topic 606. Under the practical expedient, entities may assume that conditions at the balance sheet date remain unchanged over the life of the asset, reducing the need to prepare complex</w:t>
      </w:r>
    </w:p>
    <w:p>
      <w:pPr>
        <w:spacing w:after="0" w:line="2" w:lineRule="exact"/>
        <w:rPr>
          <w:sz w:val="20"/>
          <w:szCs w:val="20"/>
          <w:color w:val="auto"/>
        </w:rPr>
      </w:pPr>
    </w:p>
    <w:p>
      <w:pPr>
        <w:ind w:left="980" w:right="80"/>
        <w:spacing w:after="0" w:line="268" w:lineRule="auto"/>
        <w:rPr>
          <w:sz w:val="20"/>
          <w:szCs w:val="20"/>
          <w:color w:val="auto"/>
        </w:rPr>
      </w:pPr>
      <w:r>
        <w:rPr>
          <w:rFonts w:ascii="Arial" w:cs="Arial" w:eastAsia="Arial" w:hAnsi="Arial"/>
          <w:sz w:val="18"/>
          <w:szCs w:val="18"/>
          <w:color w:val="auto"/>
        </w:rPr>
        <w:t>macroeconomic forecasts for short-term balances. ASU 2025-05 is effective for public companies with annual periods beginning after December 15, 2025, and interim periods within such fiscal years, with prospective application required. We adopted ASU 2025-05 in 2026 and the adoption had no material impact on our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Stock Consideration Transferred</w:t>
      </w:r>
    </w:p>
    <w:p>
      <w:pPr>
        <w:spacing w:after="0" w:line="115" w:lineRule="exact"/>
        <w:rPr>
          <w:sz w:val="20"/>
          <w:szCs w:val="20"/>
          <w:color w:val="auto"/>
        </w:rPr>
      </w:pPr>
    </w:p>
    <w:p>
      <w:pPr>
        <w:ind w:left="980" w:right="60"/>
        <w:spacing w:after="0" w:line="268" w:lineRule="auto"/>
        <w:rPr>
          <w:sz w:val="20"/>
          <w:szCs w:val="20"/>
          <w:color w:val="auto"/>
        </w:rPr>
      </w:pPr>
      <w:r>
        <w:rPr>
          <w:rFonts w:ascii="Arial" w:cs="Arial" w:eastAsia="Arial" w:hAnsi="Arial"/>
          <w:sz w:val="18"/>
          <w:szCs w:val="18"/>
          <w:color w:val="auto"/>
        </w:rPr>
        <w:t>Pursuant to the terms of the Transaction, with respect to the 13.6 million shares of stock consideration, approximately 7.3 million shares, in aggregate, were delivered from January 2, 2025 to March 31, 2026 to the selling shareholders. The remaining 6.2 million shares will be delivered in 21 monthly installments starting on April 1, 2026.</w:t>
      </w:r>
    </w:p>
    <w:p>
      <w:pPr>
        <w:spacing w:after="0" w:line="6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Working Capital Adjustment Related to Transaction</w:t>
      </w:r>
    </w:p>
    <w:p>
      <w:pPr>
        <w:spacing w:after="0" w:line="115"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During the three months ended March 31, 2026, the Company finalized the working capital and related purchase price adjustment associated with the Transaction in accordance with the applicable provisions of the Merger Agreement. As a result, the Company received $46.5 million in cash on January 26, 2026. In addition, the Company recorded a notes receivable of $10.7 million, of which $3.5 million was received on January 26, 2026, from Marcum and Marcum Partners SPV LLC, entities not owned by CBIZ, related to the remaining working capital payments. Total cash received from the finalization of working capital adjustment was $50.0 million during the three months ended March 31, 2026. The Company recorded a gain of $57.2 million related to this final working capital adjustment. Additionally, the Company recorded a gain of $0.8 million associated with other acquisition related adjustments. Both gains were reported as Gain from acquisition related adjustments, net in the accompanying condensed consolidated statements of operations.</w:t>
      </w:r>
    </w:p>
    <w:p>
      <w:pPr>
        <w:spacing w:after="0" w:line="73" w:lineRule="exact"/>
        <w:rPr>
          <w:sz w:val="20"/>
          <w:szCs w:val="20"/>
          <w:color w:val="auto"/>
        </w:rPr>
      </w:pPr>
    </w:p>
    <w:p>
      <w:pPr>
        <w:ind w:left="980" w:right="340"/>
        <w:spacing w:after="0" w:line="287" w:lineRule="auto"/>
        <w:rPr>
          <w:sz w:val="20"/>
          <w:szCs w:val="20"/>
          <w:color w:val="auto"/>
        </w:rPr>
      </w:pPr>
      <w:r>
        <w:rPr>
          <w:rFonts w:ascii="Arial" w:cs="Arial" w:eastAsia="Arial" w:hAnsi="Arial"/>
          <w:sz w:val="18"/>
          <w:szCs w:val="18"/>
          <w:color w:val="auto"/>
        </w:rPr>
        <w:t>In addition to the cash received from the final working capital adjustment, the Company received $3.1 million in cash from an indemnity escrow associated with the Transaction. Total cash received on January 26, 2026 was $53.1 million.</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ACCOUNTS RECEIVABLE, NET</w:t>
      </w:r>
    </w:p>
    <w:p>
      <w:pPr>
        <w:spacing w:after="0" w:line="117" w:lineRule="exact"/>
        <w:rPr>
          <w:sz w:val="20"/>
          <w:szCs w:val="20"/>
          <w:color w:val="auto"/>
        </w:rPr>
      </w:pPr>
    </w:p>
    <w:p>
      <w:pPr>
        <w:ind w:left="980" w:right="120"/>
        <w:spacing w:after="0" w:line="257" w:lineRule="auto"/>
        <w:rPr>
          <w:sz w:val="20"/>
          <w:szCs w:val="20"/>
          <w:color w:val="auto"/>
        </w:rPr>
      </w:pPr>
      <w:r>
        <w:rPr>
          <w:rFonts w:ascii="Arial" w:cs="Arial" w:eastAsia="Arial" w:hAnsi="Arial"/>
          <w:sz w:val="18"/>
          <w:szCs w:val="18"/>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other pertinent factors that may impact the collectivity of the receivables. Receivables are charged-off against the allowance when the balance is deemed uncollectible.</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Accounts receivable, net, at March 31, 2026 and December 31, 2025 was as follows (in thousands):</w:t>
      </w:r>
    </w:p>
    <w:p>
      <w:pPr>
        <w:spacing w:after="0" w:line="13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8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2025</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510,952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469,209</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Unbilled revenue, at net realizable value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308,584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136,701</w:t>
            </w:r>
          </w:p>
        </w:tc>
      </w:tr>
      <w:tr>
        <w:trPr>
          <w:trHeight w:val="223"/>
        </w:trPr>
        <w:tc>
          <w:tcPr>
            <w:tcW w:w="5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accounts receivable</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819,536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605,910</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(49,915)</w:t>
            </w:r>
          </w:p>
        </w:tc>
      </w:tr>
      <w:tr>
        <w:trPr>
          <w:trHeight w:val="248"/>
        </w:trPr>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769,442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555,995</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980"/>
        <w:spacing w:after="0" w:line="287" w:lineRule="auto"/>
        <w:rPr>
          <w:sz w:val="20"/>
          <w:szCs w:val="20"/>
          <w:color w:val="auto"/>
        </w:rPr>
      </w:pPr>
      <w:r>
        <w:rPr>
          <w:rFonts w:ascii="Arial" w:cs="Arial" w:eastAsia="Arial" w:hAnsi="Arial"/>
          <w:sz w:val="18"/>
          <w:szCs w:val="18"/>
          <w:color w:val="auto"/>
        </w:rPr>
        <w:t>Changes to the allowance for doubtful accounts for the three months ended March 31, 2026 and year ended December 31, 2025 were as follows (in thousands):</w:t>
      </w:r>
    </w:p>
    <w:p>
      <w:pPr>
        <w:spacing w:after="0" w:line="8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8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center"/>
              <w:ind w:left="656"/>
              <w:spacing w:after="0"/>
              <w:rPr>
                <w:sz w:val="20"/>
                <w:szCs w:val="20"/>
                <w:color w:val="auto"/>
              </w:rPr>
            </w:pPr>
            <w:r>
              <w:rPr>
                <w:rFonts w:ascii="Arial" w:cs="Arial" w:eastAsia="Arial" w:hAnsi="Arial"/>
                <w:sz w:val="18"/>
                <w:szCs w:val="18"/>
                <w:color w:val="auto"/>
              </w:rPr>
              <w:t>(31,715)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left="656"/>
              <w:spacing w:after="0"/>
              <w:rPr>
                <w:sz w:val="20"/>
                <w:szCs w:val="20"/>
                <w:color w:val="auto"/>
              </w:rPr>
            </w:pPr>
            <w:r>
              <w:rPr>
                <w:rFonts w:ascii="Arial" w:cs="Arial" w:eastAsia="Arial" w:hAnsi="Arial"/>
                <w:sz w:val="18"/>
                <w:szCs w:val="18"/>
                <w:color w:val="auto"/>
              </w:rPr>
              <w:t>(34,447)</w:t>
            </w: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 net of recoveries</w:t>
            </w: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center"/>
              <w:ind w:left="676"/>
              <w:spacing w:after="0"/>
              <w:rPr>
                <w:sz w:val="20"/>
                <w:szCs w:val="20"/>
                <w:color w:val="auto"/>
              </w:rPr>
            </w:pPr>
            <w:r>
              <w:rPr>
                <w:rFonts w:ascii="Arial" w:cs="Arial" w:eastAsia="Arial" w:hAnsi="Arial"/>
                <w:sz w:val="18"/>
                <w:szCs w:val="18"/>
                <w:color w:val="auto"/>
                <w:w w:val="98"/>
              </w:rPr>
              <w:t>16,247</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rPr>
              <w:t>(49,915)</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FINANCING ARRANGEMENTS</w:t>
      </w:r>
    </w:p>
    <w:p>
      <w:pPr>
        <w:spacing w:after="0" w:line="117" w:lineRule="exact"/>
        <w:rPr>
          <w:sz w:val="20"/>
          <w:szCs w:val="20"/>
          <w:color w:val="auto"/>
        </w:rPr>
      </w:pPr>
    </w:p>
    <w:p>
      <w:pPr>
        <w:ind w:left="980" w:right="200"/>
        <w:spacing w:after="0" w:line="268" w:lineRule="auto"/>
        <w:rPr>
          <w:sz w:val="20"/>
          <w:szCs w:val="20"/>
          <w:color w:val="auto"/>
        </w:rPr>
      </w:pPr>
      <w:r>
        <w:rPr>
          <w:rFonts w:ascii="Arial" w:cs="Arial" w:eastAsia="Arial" w:hAnsi="Arial"/>
          <w:sz w:val="18"/>
          <w:szCs w:val="18"/>
          <w:b w:val="1"/>
          <w:bCs w:val="1"/>
          <w:color w:val="auto"/>
        </w:rPr>
        <w:t xml:space="preserve">2024 Credit Facilities </w:t>
      </w:r>
      <w:r>
        <w:rPr>
          <w:rFonts w:ascii="Arial" w:cs="Arial" w:eastAsia="Arial" w:hAnsi="Arial"/>
          <w:sz w:val="18"/>
          <w:szCs w:val="18"/>
          <w:color w:val="auto"/>
        </w:rPr>
        <w:t>- Our primary financing arrangement is the 2024 Credit Facilities. The 2024 Credit Facilities is a $ 2.0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senior secured credit facilities, consisting of a $1.4 billion term loan (the “Term Loan”) and $600.0 million revolving credit facility (the “Revolving Credit Facility”).</w:t>
      </w:r>
    </w:p>
    <w:p>
      <w:pPr>
        <w:spacing w:after="0" w:line="63" w:lineRule="exact"/>
        <w:rPr>
          <w:sz w:val="20"/>
          <w:szCs w:val="20"/>
          <w:color w:val="auto"/>
        </w:rPr>
      </w:pPr>
    </w:p>
    <w:p>
      <w:pPr>
        <w:jc w:val="both"/>
        <w:ind w:left="980" w:right="200"/>
        <w:spacing w:after="0" w:line="268" w:lineRule="auto"/>
        <w:rPr>
          <w:sz w:val="20"/>
          <w:szCs w:val="20"/>
          <w:color w:val="auto"/>
        </w:rPr>
      </w:pPr>
      <w:r>
        <w:rPr>
          <w:rFonts w:ascii="Arial" w:cs="Arial" w:eastAsia="Arial" w:hAnsi="Arial"/>
          <w:sz w:val="18"/>
          <w:szCs w:val="18"/>
          <w:color w:val="auto"/>
        </w:rPr>
        <w:t>The 2024 Credit Facilities matures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63" w:lineRule="exact"/>
        <w:rPr>
          <w:sz w:val="20"/>
          <w:szCs w:val="20"/>
          <w:color w:val="auto"/>
        </w:rPr>
      </w:pPr>
    </w:p>
    <w:p>
      <w:pPr>
        <w:ind w:left="980" w:right="20"/>
        <w:spacing w:after="0" w:line="256" w:lineRule="auto"/>
        <w:rPr>
          <w:sz w:val="20"/>
          <w:szCs w:val="20"/>
          <w:color w:val="auto"/>
        </w:rPr>
      </w:pPr>
      <w:r>
        <w:rPr>
          <w:rFonts w:ascii="Arial" w:cs="Arial" w:eastAsia="Arial" w:hAnsi="Arial"/>
          <w:sz w:val="18"/>
          <w:szCs w:val="18"/>
          <w:color w:val="auto"/>
        </w:rPr>
        <w:t>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our common stock, subject to the limitations of the 2024 Credit Facilities and applicable law. The 2024 Credit Facilities contains a provision that, in the event of a defined change in control, the 2024 Credit Facilities may be terminated.</w:t>
      </w:r>
    </w:p>
    <w:p>
      <w:pPr>
        <w:spacing w:after="0" w:line="75" w:lineRule="exact"/>
        <w:rPr>
          <w:sz w:val="20"/>
          <w:szCs w:val="20"/>
          <w:color w:val="auto"/>
        </w:rPr>
      </w:pPr>
    </w:p>
    <w:p>
      <w:pPr>
        <w:ind w:left="980"/>
        <w:spacing w:after="0" w:line="256" w:lineRule="auto"/>
        <w:rPr>
          <w:sz w:val="20"/>
          <w:szCs w:val="20"/>
          <w:color w:val="auto"/>
        </w:rPr>
      </w:pPr>
      <w:r>
        <w:rPr>
          <w:rFonts w:ascii="Arial" w:cs="Arial" w:eastAsia="Arial" w:hAnsi="Arial"/>
          <w:sz w:val="18"/>
          <w:szCs w:val="18"/>
          <w:color w:val="auto"/>
        </w:rPr>
        <w:t>In addition, the 2024 Credit Facilities includes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requires a Minimum Consolidated Interest Coverage Ratio of 3.00 to 1.00 and affirmative and negative covenants that are in each case generally similar to those contained in our previous amended and restated 2022 credit facility, but with increases to certain baskets and caps and certain other exceptions. As of March 31, 2026, we were in compliance with all covenants under the 2024 Credit Facilities.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9" w:name="page10"/>
    <w:bookmarkEnd w:id="9"/>
    <w:p>
      <w:pPr>
        <w:ind w:left="980" w:right="800"/>
        <w:spacing w:after="0" w:line="287" w:lineRule="auto"/>
        <w:rPr>
          <w:sz w:val="20"/>
          <w:szCs w:val="20"/>
          <w:color w:val="auto"/>
        </w:rPr>
      </w:pPr>
      <w:r>
        <w:rPr>
          <w:rFonts w:ascii="Arial" w:cs="Arial" w:eastAsia="Arial" w:hAnsi="Arial"/>
          <w:sz w:val="18"/>
          <w:szCs w:val="18"/>
          <w:color w:val="auto"/>
        </w:rPr>
        <w:t>The balance outstanding under the 2024 Credit Facilities at March 31, 2026 and December 31, 2025 was as follows (in thousands):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5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Current portion, Term Loan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78,750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debt issuance costs, Term Loan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short-term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66,372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Debt issuance costs, Revolver</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Term Loan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1,260,000</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Debt Issuance Costs, Term Loan</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1,389,552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right="180"/>
        <w:spacing w:after="0" w:line="287" w:lineRule="auto"/>
        <w:rPr>
          <w:sz w:val="20"/>
          <w:szCs w:val="20"/>
          <w:color w:val="auto"/>
        </w:rPr>
      </w:pPr>
      <w:r>
        <w:rPr>
          <w:rFonts w:ascii="Arial" w:cs="Arial" w:eastAsia="Arial" w:hAnsi="Arial"/>
          <w:sz w:val="18"/>
          <w:szCs w:val="18"/>
          <w:color w:val="auto"/>
        </w:rPr>
        <w:t>The blended effective interest rates under the 2024 Credit Facilities, including the impact of interest rate swaps associated with those credit facilities, for the three months ended March 31, 2026 and 2025 were as follows:</w:t>
      </w:r>
    </w:p>
    <w:p>
      <w:pPr>
        <w:spacing w:after="0" w:line="68"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586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rates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6.11%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6.57%</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Range of effective rates</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3.54% - 6.84%</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3.18% - 8.75%</w:t>
            </w:r>
          </w:p>
        </w:tc>
      </w:tr>
    </w:tbl>
    <w:p>
      <w:pPr>
        <w:spacing w:after="0" w:line="282" w:lineRule="exact"/>
        <w:rPr>
          <w:sz w:val="20"/>
          <w:szCs w:val="20"/>
          <w:color w:val="auto"/>
        </w:rPr>
      </w:pPr>
    </w:p>
    <w:p>
      <w:pPr>
        <w:ind w:left="980" w:right="100"/>
        <w:spacing w:after="0" w:line="257" w:lineRule="auto"/>
        <w:rPr>
          <w:sz w:val="20"/>
          <w:szCs w:val="20"/>
          <w:color w:val="auto"/>
        </w:rPr>
      </w:pPr>
      <w:r>
        <w:rPr>
          <w:rFonts w:ascii="Arial" w:cs="Arial" w:eastAsia="Arial" w:hAnsi="Arial"/>
          <w:sz w:val="18"/>
          <w:szCs w:val="18"/>
          <w:color w:val="auto"/>
        </w:rPr>
        <w:t>We had approximately $333.4 million of available funds under the 2024 Credit Facilities at March 31, 2026,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74" w:lineRule="exact"/>
        <w:rPr>
          <w:sz w:val="20"/>
          <w:szCs w:val="20"/>
          <w:color w:val="auto"/>
        </w:rPr>
      </w:pPr>
    </w:p>
    <w:p>
      <w:pPr>
        <w:ind w:left="980" w:right="60"/>
        <w:spacing w:after="0" w:line="287" w:lineRule="auto"/>
        <w:rPr>
          <w:sz w:val="20"/>
          <w:szCs w:val="20"/>
          <w:color w:val="auto"/>
        </w:rPr>
      </w:pPr>
      <w:r>
        <w:rPr>
          <w:rFonts w:ascii="Arial" w:cs="Arial" w:eastAsia="Arial" w:hAnsi="Arial"/>
          <w:sz w:val="18"/>
          <w:szCs w:val="18"/>
          <w:color w:val="auto"/>
        </w:rPr>
        <w:t>Refer to Note 10, Debt and Financing Arrangements, to the consolidated financial statements contained in our Annual Report on Form 10-K for the year ended December 31, 2025 for further discussion on the 2024 Credit Facilities.</w:t>
      </w:r>
    </w:p>
    <w:p>
      <w:pPr>
        <w:spacing w:after="0" w:line="45"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b w:val="1"/>
          <w:bCs w:val="1"/>
          <w:color w:val="auto"/>
        </w:rPr>
        <w:t xml:space="preserve">Other Line of Credit </w:t>
      </w:r>
      <w:r>
        <w:rPr>
          <w:rFonts w:ascii="Arial" w:cs="Arial" w:eastAsia="Arial" w:hAnsi="Arial"/>
          <w:sz w:val="18"/>
          <w:szCs w:val="18"/>
          <w:color w:val="auto"/>
        </w:rPr>
        <w:t>- We have an unsecured $20.0 million line of credit by and among CBIZ Benefits and Insurance,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Huntington National Bank ("line of credit"). We utilize this line of credit to support our short-term funding requirements of payroll client fund obligations due to the investment of client funds, rather than liquidating client funds that have already been invested in available-for-sale securities. The line of credit did not have a balance outstanding at March 31, 2026 or December 31, 2025. The line of credit was renewed in July 2025 and will now terminate on July 30, 2026.</w:t>
      </w:r>
    </w:p>
    <w:p>
      <w:pPr>
        <w:spacing w:after="0" w:line="71" w:lineRule="exact"/>
        <w:rPr>
          <w:sz w:val="20"/>
          <w:szCs w:val="20"/>
          <w:color w:val="auto"/>
        </w:rPr>
      </w:pPr>
    </w:p>
    <w:p>
      <w:pPr>
        <w:jc w:val="both"/>
        <w:ind w:left="980" w:right="260"/>
        <w:spacing w:after="0" w:line="26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including amortization of deferred financing costs, commitment fees, line of credit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applicable bank charges, for the three months ended March 31, 2026 and 2025 was $23.9 million and $25.2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 We provide letters of credit to landlords (lessors) of our leased premises in lieu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deposits, which totaled $3.2 million and $3.2 million at March 31, 2026 and December 31, 2025, respectively. In addition, we provide license bonds to various state agencies to meet certain licensing requirements. The amount of license bonds outstanding was $2.2 million and $2.1 million at March 31, 2026 and December 31, 2025,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ind w:left="980" w:right="120"/>
        <w:spacing w:after="0" w:line="255"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On November 10, 2023, CBIZ was named as a defendant in a putative class action lawsuit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77" w:lineRule="exact"/>
        <w:rPr>
          <w:sz w:val="20"/>
          <w:szCs w:val="20"/>
          <w:color w:val="auto"/>
        </w:rPr>
      </w:pPr>
    </w:p>
    <w:p>
      <w:pPr>
        <w:ind w:left="980" w:right="40"/>
        <w:spacing w:after="0" w:line="268" w:lineRule="auto"/>
        <w:rPr>
          <w:sz w:val="20"/>
          <w:szCs w:val="20"/>
          <w:color w:val="auto"/>
        </w:rPr>
      </w:pPr>
      <w:r>
        <w:rPr>
          <w:rFonts w:ascii="Arial" w:cs="Arial" w:eastAsia="Arial" w:hAnsi="Arial"/>
          <w:sz w:val="18"/>
          <w:szCs w:val="18"/>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w:t>
      </w:r>
    </w:p>
    <w:p>
      <w:pPr>
        <w:spacing w:after="0" w:line="63" w:lineRule="exact"/>
        <w:rPr>
          <w:sz w:val="20"/>
          <w:szCs w:val="20"/>
          <w:color w:val="auto"/>
        </w:rPr>
      </w:pPr>
    </w:p>
    <w:p>
      <w:pPr>
        <w:ind w:left="980" w:right="20"/>
        <w:spacing w:after="0" w:line="254" w:lineRule="auto"/>
        <w:rPr>
          <w:sz w:val="20"/>
          <w:szCs w:val="20"/>
          <w:color w:val="auto"/>
        </w:rPr>
      </w:pPr>
      <w:r>
        <w:rPr>
          <w:rFonts w:ascii="Arial" w:cs="Arial" w:eastAsia="Arial" w:hAnsi="Arial"/>
          <w:sz w:val="18"/>
          <w:szCs w:val="18"/>
          <w:color w:val="auto"/>
        </w:rPr>
        <w:t xml:space="preserve">Both cases were transferred into a multidistrict litigation, styled as </w:t>
      </w:r>
      <w:r>
        <w:rPr>
          <w:rFonts w:ascii="Arial" w:cs="Arial" w:eastAsia="Arial" w:hAnsi="Arial"/>
          <w:sz w:val="18"/>
          <w:szCs w:val="18"/>
          <w:i w:val="1"/>
          <w:iCs w:val="1"/>
          <w:color w:val="auto"/>
        </w:rPr>
        <w:t>In Re: MOVEit Customer Data Security Breach Litigation</w:t>
      </w:r>
      <w:r>
        <w:rPr>
          <w:rFonts w:ascii="Arial" w:cs="Arial" w:eastAsia="Arial" w:hAnsi="Arial"/>
          <w:sz w:val="18"/>
          <w:szCs w:val="18"/>
          <w:color w:val="auto"/>
        </w:rPr>
        <w:t>, pending in the United States District Court for the District of Massachusetts (the “MDL”). To date, the MDL has over 300 cases against over 100 different defendants, all with claims arising out of the cyber breach by hackers of Progress Software Corporation’s MOVEit Transfer software. The MDL has a bellwether structure, under which defendants in the MDL cases have been divided into bellwether and non-bellwether defendants. CBIZ is a non-bellwether defendant. The cases against the bellwether defendants are moving forward while the cases against the non-bellwether defendants, including CBIZ, are not. The bellwether cases are in early stages of discovery, which will be followed by class certification and dispositive-motion practice. Due to the early stage of litigation against the bellwether defendants and CBIZ’s status as a non-bellwether defendant, the Company is not able to determine or predict the ultimate outcome of these lawsuits nor reasonably provide an estimate or range of the possible outcome or losses, if any.</w:t>
      </w:r>
    </w:p>
    <w:p>
      <w:pPr>
        <w:spacing w:after="0" w:line="77" w:lineRule="exact"/>
        <w:rPr>
          <w:sz w:val="20"/>
          <w:szCs w:val="20"/>
          <w:color w:val="auto"/>
        </w:rPr>
      </w:pPr>
    </w:p>
    <w:p>
      <w:pPr>
        <w:ind w:left="980" w:right="100"/>
        <w:spacing w:after="0" w:line="268" w:lineRule="auto"/>
        <w:rPr>
          <w:sz w:val="20"/>
          <w:szCs w:val="20"/>
          <w:color w:val="auto"/>
        </w:rPr>
      </w:pPr>
      <w:r>
        <w:rPr>
          <w:rFonts w:ascii="Arial" w:cs="Arial" w:eastAsia="Arial" w:hAnsi="Arial"/>
          <w:sz w:val="18"/>
          <w:szCs w:val="18"/>
          <w:color w:val="auto"/>
        </w:rPr>
        <w:t>In June of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year ended December 31, 2025.</w:t>
      </w:r>
    </w:p>
    <w:p>
      <w:pPr>
        <w:spacing w:after="0" w:line="63"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68" w:lineRule="exact"/>
        <w:rPr>
          <w:sz w:val="20"/>
          <w:szCs w:val="20"/>
          <w:color w:val="auto"/>
        </w:rPr>
      </w:pPr>
    </w:p>
    <w:p>
      <w:pPr>
        <w:ind w:left="980" w:right="100"/>
        <w:spacing w:after="0" w:line="318" w:lineRule="auto"/>
        <w:rPr>
          <w:sz w:val="20"/>
          <w:szCs w:val="20"/>
          <w:color w:val="auto"/>
        </w:rPr>
      </w:pPr>
      <w:r>
        <w:rPr>
          <w:rFonts w:ascii="Arial" w:cs="Arial" w:eastAsia="Arial" w:hAnsi="Arial"/>
          <w:sz w:val="17"/>
          <w:szCs w:val="17"/>
          <w:color w:val="auto"/>
        </w:rPr>
        <w:t>Refer to Note 12, Commitments and Contingencies, to the consolidated financial statements contained in our Annual Report on Form 10-K for the year ended December 31, 2025 for further discussion on the Company's commitments and contingencies.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ind w:left="980" w:right="100"/>
        <w:spacing w:after="0" w:line="256" w:lineRule="auto"/>
        <w:rPr>
          <w:sz w:val="20"/>
          <w:szCs w:val="20"/>
          <w:color w:val="auto"/>
        </w:rPr>
      </w:pPr>
      <w:r>
        <w:rPr>
          <w:rFonts w:ascii="Arial" w:cs="Arial" w:eastAsia="Arial" w:hAnsi="Arial"/>
          <w:sz w:val="18"/>
          <w:szCs w:val="18"/>
          <w:b w:val="1"/>
          <w:bCs w:val="1"/>
          <w:color w:val="auto"/>
        </w:rPr>
        <w:t xml:space="preserve">Available-For-Sale Debt Securities </w:t>
      </w:r>
      <w:r>
        <w:rPr>
          <w:rFonts w:ascii="Arial" w:cs="Arial" w:eastAsia="Arial" w:hAnsi="Arial"/>
          <w:sz w:val="18"/>
          <w:szCs w:val="18"/>
          <w:color w:val="auto"/>
        </w:rPr>
        <w:t>- In connection with certain services provided by our payroll operations, we collect funds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$45.5 million and $45.0 million at March 31, 2026 and December 31, 2025, respectively, and these investments have maturity or callable dates ranging from April 2026 through January 2031.</w:t>
      </w:r>
    </w:p>
    <w:p>
      <w:pPr>
        <w:spacing w:after="0" w:line="75"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At March 31, 2026,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11" w:name="page12"/>
    <w:bookmarkEnd w:id="11"/>
    <w:p>
      <w:pPr>
        <w:ind w:right="100"/>
        <w:spacing w:after="0" w:line="287" w:lineRule="auto"/>
        <w:rPr>
          <w:sz w:val="20"/>
          <w:szCs w:val="20"/>
          <w:color w:val="auto"/>
        </w:rPr>
      </w:pPr>
      <w:r>
        <w:rPr>
          <w:rFonts w:ascii="Arial" w:cs="Arial" w:eastAsia="Arial" w:hAnsi="Arial"/>
          <w:sz w:val="18"/>
          <w:szCs w:val="18"/>
          <w:color w:val="auto"/>
        </w:rPr>
        <w:t>The following table summarizes activities related to these investments for the three months ended March 31, 2026 and the year ended December 31, 2025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w:t>
            </w:r>
          </w:p>
        </w:tc>
      </w:tr>
      <w:tr>
        <w:trPr>
          <w:trHeight w:val="189"/>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31, 2026</w:t>
            </w:r>
          </w:p>
        </w:tc>
        <w:tc>
          <w:tcPr>
            <w:tcW w:w="360" w:type="dxa"/>
            <w:vAlign w:val="bottom"/>
          </w:tcPr>
          <w:p>
            <w:pPr>
              <w:spacing w:after="0"/>
              <w:rPr>
                <w:sz w:val="16"/>
                <w:szCs w:val="16"/>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b w:val="1"/>
                <w:bCs w:val="1"/>
                <w:color w:val="auto"/>
              </w:rPr>
              <w:t>31, 2025</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43,375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Maturities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(34,595)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bond premium</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market value adjustment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to the available-for-sale debt securities discussed above, we also held other depository assets in the amount of $0.1 million and $0.5 million at March 31, 2026 and December 31, 2025, respectively. Those depository assets are classified as Level 1 in the fair value hierarchy.</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 We utilize interest rate swaps to manage interest rate risk exposure associated with our floating-rate debt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2024 Credit Facilities, or the forecasted acquisition of such liability. We do not purchase or hold any derivative instruments for trading or speculative purposes. Refer to Note 7, Financial Instruments, to the consolidated financial statements contained in our Annual Report on Form 10-K for the year ended December 31, 2025 for further discussion on our interest rate swaps.</w:t>
      </w:r>
    </w:p>
    <w:p>
      <w:pPr>
        <w:spacing w:after="0" w:line="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summarizes our outstanding interest rate swaps and their classification in the accompanying unaudited Condensed Consolidated Balance Sheets at March 31, 2026 and December 31, 2025 (amounts in thousands, except percentages):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March 31, 2026</w:t>
            </w: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Notional</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3.503 %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3.680 %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7/15/2030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665"/>
        </w:trPr>
        <w:tc>
          <w:tcPr>
            <w:tcW w:w="2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December 31, 2025</w:t>
            </w: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Notional</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liability</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3.503 %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3.680 %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7/15/2030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1300" w:top="9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00" w:top="998" w:right="379" w:bottom="1440" w:gutter="0" w:footer="0" w:header="0"/>
          <w:type w:val="continuous"/>
        </w:sectPr>
      </w:pPr>
    </w:p>
    <w:bookmarkStart w:id="12" w:name="page13"/>
    <w:bookmarkEnd w:id="12"/>
    <w:p>
      <w:pPr>
        <w:ind w:left="980"/>
        <w:spacing w:after="0"/>
        <w:rPr>
          <w:sz w:val="20"/>
          <w:szCs w:val="20"/>
          <w:color w:val="auto"/>
        </w:rPr>
      </w:pPr>
      <w:r>
        <w:rPr>
          <w:rFonts w:ascii="Arial" w:cs="Arial" w:eastAsia="Arial" w:hAnsi="Arial"/>
          <w:sz w:val="18"/>
          <w:szCs w:val="18"/>
          <w:color w:val="auto"/>
        </w:rPr>
        <w:t>Refer to Note 8, Fair Value Measurements, for additional disclosures regarding fair value measurements.</w:t>
      </w:r>
    </w:p>
    <w:p>
      <w:pPr>
        <w:spacing w:after="0" w:line="117" w:lineRule="exact"/>
        <w:rPr>
          <w:sz w:val="20"/>
          <w:szCs w:val="20"/>
          <w:color w:val="auto"/>
        </w:rPr>
      </w:pPr>
    </w:p>
    <w:p>
      <w:pPr>
        <w:ind w:left="980"/>
        <w:spacing w:after="0" w:line="279" w:lineRule="auto"/>
        <w:rPr>
          <w:sz w:val="20"/>
          <w:szCs w:val="20"/>
          <w:color w:val="auto"/>
        </w:rPr>
      </w:pPr>
      <w:r>
        <w:rPr>
          <w:rFonts w:ascii="Arial" w:cs="Arial" w:eastAsia="Arial" w:hAnsi="Arial"/>
          <w:sz w:val="18"/>
          <w:szCs w:val="18"/>
          <w:color w:val="auto"/>
        </w:rPr>
        <w:t>The following table summarizes the effects of the interest rate swaps on the accompanying Condensed Consolidated Statements of Comprehensive Income for the three months ended March 31, 2026 and 2025 (in thousands):</w:t>
      </w:r>
    </w:p>
    <w:p>
      <w:pPr>
        <w:sectPr>
          <w:pgSz w:w="11900" w:h="16838" w:orient="portrait"/>
          <w:cols w:equalWidth="0" w:num="1">
            <w:col w:w="11220"/>
          </w:cols>
          <w:pgMar w:left="320" w:top="998" w:right="359" w:bottom="1440" w:gutter="0" w:footer="0" w:header="0"/>
        </w:sectPr>
      </w:pP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Gain (Loss) Recognized</w:t>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in AOCI,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6350</wp:posOffset>
            </wp:positionV>
            <wp:extent cx="1594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6350</wp:posOffset>
            </wp:positionV>
            <wp:extent cx="15944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ind w:left="5140"/>
        <w:spacing w:after="0"/>
        <w:tabs>
          <w:tab w:leader="none" w:pos="64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4"/>
          <w:szCs w:val="14"/>
          <w:b w:val="1"/>
          <w:bCs w:val="1"/>
          <w:color w:val="auto"/>
        </w:rPr>
        <w:t>Gain Reclassified</w:t>
      </w:r>
    </w:p>
    <w:p>
      <w:pPr>
        <w:spacing w:after="0" w:line="2"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from AOCI into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1508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1508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35" w:lineRule="exact"/>
        <w:rPr>
          <w:sz w:val="20"/>
          <w:szCs w:val="20"/>
          <w:color w:val="auto"/>
        </w:rPr>
      </w:pPr>
    </w:p>
    <w:p>
      <w:pPr>
        <w:sectPr>
          <w:pgSz w:w="11900" w:h="16838" w:orient="portrait"/>
          <w:cols w:equalWidth="0" w:num="2">
            <w:col w:w="7100" w:space="720"/>
            <w:col w:w="3400"/>
          </w:cols>
          <w:pgMar w:left="320" w:top="998" w:right="359" w:bottom="1440" w:gutter="0" w:footer="0" w:header="0"/>
          <w:type w:val="continuous"/>
        </w:sectPr>
      </w:pPr>
    </w:p>
    <w:p>
      <w:pPr>
        <w:ind w:left="1000"/>
        <w:spacing w:after="0"/>
        <w:tabs>
          <w:tab w:leader="none" w:pos="4700" w:val="left"/>
          <w:tab w:leader="none" w:pos="5340" w:val="left"/>
          <w:tab w:leader="none" w:pos="6040" w:val="left"/>
          <w:tab w:leader="none" w:pos="6740" w:val="left"/>
          <w:tab w:leader="none" w:pos="7460" w:val="left"/>
          <w:tab w:leader="none" w:pos="8240" w:val="left"/>
          <w:tab w:leader="none" w:pos="8680" w:val="left"/>
          <w:tab w:leader="none" w:pos="944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2,056</w:t>
        <w:tab/>
        <w:t>$</w:t>
      </w:r>
      <w:r>
        <w:rPr>
          <w:sz w:val="20"/>
          <w:szCs w:val="20"/>
          <w:color w:val="auto"/>
        </w:rPr>
        <w:tab/>
      </w:r>
      <w:r>
        <w:rPr>
          <w:rFonts w:ascii="Arial" w:cs="Arial" w:eastAsia="Arial" w:hAnsi="Arial"/>
          <w:sz w:val="18"/>
          <w:szCs w:val="18"/>
          <w:color w:val="auto"/>
        </w:rPr>
        <w:t>(717)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w:t>
        <w:tab/>
        <w:t>$</w:t>
      </w:r>
      <w:r>
        <w:rPr>
          <w:sz w:val="20"/>
          <w:szCs w:val="20"/>
          <w:color w:val="auto"/>
        </w:rPr>
        <w:tab/>
      </w:r>
      <w:r>
        <w:rPr>
          <w:rFonts w:ascii="Arial" w:cs="Arial" w:eastAsia="Arial" w:hAnsi="Arial"/>
          <w:sz w:val="17"/>
          <w:szCs w:val="17"/>
          <w:color w:val="auto"/>
        </w:rPr>
        <w:t>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-129540</wp:posOffset>
            </wp:positionV>
            <wp:extent cx="562356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3560" cy="1543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17" w:lineRule="exact"/>
        <w:rPr>
          <w:sz w:val="20"/>
          <w:szCs w:val="20"/>
          <w:color w:val="auto"/>
        </w:rPr>
      </w:pPr>
    </w:p>
    <w:p>
      <w:pPr>
        <w:ind w:left="980"/>
        <w:spacing w:after="0" w:line="268" w:lineRule="auto"/>
        <w:rPr>
          <w:sz w:val="20"/>
          <w:szCs w:val="20"/>
          <w:color w:val="auto"/>
        </w:rPr>
      </w:pPr>
      <w:r>
        <w:rPr>
          <w:rFonts w:ascii="Arial" w:cs="Arial" w:eastAsia="Arial" w:hAnsi="Arial"/>
          <w:sz w:val="18"/>
          <w:szCs w:val="18"/>
          <w:color w:val="auto"/>
        </w:rPr>
        <w:t>The following table summarizes our assets and (liabilities) at March 31, 2026 and December 31, 2025, respectively, that are measured at fair value on a recurring basis subsequent to initial recognition and indicates the fair value hierarchy of the valuation techniques utilized by us to determine such fair value (in thousands):</w:t>
      </w:r>
    </w:p>
    <w:p>
      <w:pPr>
        <w:spacing w:after="0" w:line="8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2025</w:t>
            </w:r>
          </w:p>
        </w:tc>
      </w:tr>
      <w:tr>
        <w:trPr>
          <w:trHeight w:val="22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of deferred compensation plan</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45,053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45,004</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depository assets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Deferred compensation plan obligations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(181,515)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(186,870)</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Bank debt, net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(1,536,373)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(1,455,924)</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(40,248)</w:t>
            </w:r>
          </w:p>
        </w:tc>
      </w:tr>
    </w:tbl>
    <w:p>
      <w:pPr>
        <w:spacing w:after="0" w:line="184" w:lineRule="exact"/>
        <w:rPr>
          <w:sz w:val="20"/>
          <w:szCs w:val="20"/>
          <w:color w:val="auto"/>
        </w:rPr>
      </w:pPr>
    </w:p>
    <w:p>
      <w:pPr>
        <w:ind w:left="980" w:right="200"/>
        <w:spacing w:after="0" w:line="287" w:lineRule="auto"/>
        <w:rPr>
          <w:sz w:val="20"/>
          <w:szCs w:val="20"/>
          <w:color w:val="auto"/>
        </w:rPr>
      </w:pPr>
      <w:r>
        <w:rPr>
          <w:rFonts w:ascii="Arial" w:cs="Arial" w:eastAsia="Arial" w:hAnsi="Arial"/>
          <w:sz w:val="18"/>
          <w:szCs w:val="18"/>
          <w:color w:val="auto"/>
        </w:rPr>
        <w:t>During the three months ended March 31, 2026 and 2025, there were no transfers between the valuation hierarchy Levels 1, 2 and 3.</w:t>
      </w:r>
    </w:p>
    <w:p>
      <w:pPr>
        <w:spacing w:after="0" w:line="45" w:lineRule="exact"/>
        <w:rPr>
          <w:sz w:val="20"/>
          <w:szCs w:val="20"/>
          <w:color w:val="auto"/>
        </w:rPr>
      </w:pPr>
    </w:p>
    <w:p>
      <w:pPr>
        <w:ind w:left="980" w:right="80"/>
        <w:spacing w:after="0" w:line="287" w:lineRule="auto"/>
        <w:rPr>
          <w:sz w:val="20"/>
          <w:szCs w:val="20"/>
          <w:color w:val="auto"/>
        </w:rPr>
      </w:pPr>
      <w:r>
        <w:rPr>
          <w:rFonts w:ascii="Arial" w:cs="Arial" w:eastAsia="Arial" w:hAnsi="Arial"/>
          <w:sz w:val="18"/>
          <w:szCs w:val="18"/>
          <w:color w:val="auto"/>
        </w:rPr>
        <w:t>The following table summarizes the change in Level 3 fair values of our contingent purchase price liabilities for the three months ended March 31, 2026 and 2025 (pre-tax basis, in thousands):</w:t>
      </w:r>
    </w:p>
    <w:p>
      <w:pPr>
        <w:spacing w:after="0" w:line="82"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3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2025</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 December 31</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Additions from business acquisitions</w:t>
            </w:r>
          </w:p>
        </w:tc>
        <w:tc>
          <w:tcPr>
            <w:tcW w:w="1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contingent purchase price liabilities</w:t>
            </w: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fair value of contingencies</w:t>
            </w:r>
          </w:p>
        </w:tc>
        <w:tc>
          <w:tcPr>
            <w:tcW w:w="1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present value of contingencies</w:t>
            </w:r>
          </w:p>
        </w:tc>
        <w:tc>
          <w:tcPr>
            <w:tcW w:w="1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 – March 31</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(65,963)</w:t>
            </w:r>
          </w:p>
        </w:tc>
      </w:tr>
      <w:tr>
        <w:trPr>
          <w:trHeight w:val="20"/>
        </w:trPr>
        <w:tc>
          <w:tcPr>
            <w:tcW w:w="6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980" w:right="60"/>
        <w:spacing w:after="0" w:line="253" w:lineRule="auto"/>
        <w:rPr>
          <w:sz w:val="20"/>
          <w:szCs w:val="20"/>
          <w:color w:val="auto"/>
        </w:rPr>
      </w:pPr>
      <w:r>
        <w:rPr>
          <w:rFonts w:ascii="Arial" w:cs="Arial" w:eastAsia="Arial" w:hAnsi="Arial"/>
          <w:sz w:val="18"/>
          <w:szCs w:val="18"/>
          <w:color w:val="auto"/>
        </w:rPr>
        <w:t>The following table summarizes the changes in contingent purchase price consideration for previous acquisitions and contingent payments made for previous business acquisitions in the three months ended March 31, 2026 and 2025, respectively (in thousands):</w:t>
      </w:r>
    </w:p>
    <w:p>
      <w:pPr>
        <w:spacing w:after="0" w:line="125"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34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50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expense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Cash settlement paid</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29,520</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(number)</w:t>
            </w:r>
          </w:p>
        </w:tc>
        <w:tc>
          <w:tcPr>
            <w:tcW w:w="1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184" w:lineRule="exact"/>
        <w:rPr>
          <w:sz w:val="20"/>
          <w:szCs w:val="20"/>
          <w:color w:val="auto"/>
        </w:rPr>
      </w:pPr>
    </w:p>
    <w:p>
      <w:pPr>
        <w:jc w:val="both"/>
        <w:ind w:left="980" w:right="40"/>
        <w:spacing w:after="0" w:line="268" w:lineRule="auto"/>
        <w:rPr>
          <w:sz w:val="20"/>
          <w:szCs w:val="20"/>
          <w:color w:val="auto"/>
        </w:rPr>
      </w:pPr>
      <w:r>
        <w:rPr>
          <w:rFonts w:ascii="Arial" w:cs="Arial" w:eastAsia="Arial" w:hAnsi="Arial"/>
          <w:sz w:val="18"/>
          <w:szCs w:val="18"/>
          <w:color w:val="auto"/>
        </w:rPr>
        <w:t>Refer to Note 8, Fair Value Measurements, to the consolidated financial statements contained in our Annual Report on Form 10-K for the year ended December 31, 2025 for further discussion on the fair value measurements and classification of our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9. OTHER COMPREHENSIVE INCOME</w:t>
      </w:r>
    </w:p>
    <w:p>
      <w:pPr>
        <w:spacing w:after="0" w:line="117" w:lineRule="exact"/>
        <w:rPr>
          <w:sz w:val="20"/>
          <w:szCs w:val="20"/>
          <w:color w:val="auto"/>
        </w:rPr>
      </w:pPr>
    </w:p>
    <w:p>
      <w:pPr>
        <w:ind w:left="980"/>
        <w:spacing w:after="0" w:line="279" w:lineRule="auto"/>
        <w:rPr>
          <w:sz w:val="20"/>
          <w:szCs w:val="20"/>
          <w:color w:val="auto"/>
        </w:rPr>
      </w:pPr>
      <w:r>
        <w:rPr>
          <w:rFonts w:ascii="Arial" w:cs="Arial" w:eastAsia="Arial" w:hAnsi="Arial"/>
          <w:sz w:val="18"/>
          <w:szCs w:val="18"/>
          <w:color w:val="auto"/>
        </w:rPr>
        <w:t>The following table is a summary of other comprehensive income (loss) and discloses the tax impact of each component of other comprehensive income (loss) for the three months ended March 31, 2026 and 2025 (in thousands):</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0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r>
      <w:tr>
        <w:trPr>
          <w:trHeight w:val="224"/>
        </w:trPr>
        <w:tc>
          <w:tcPr>
            <w:tcW w:w="60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Net unrealized (loss) gain on available-for-sale securities, net of taxes</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Net unrealized gain (loss) on interest rate swaps, net of taxes</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1,991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1"/>
        </w:trPr>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1">
            <w:col w:w="11200"/>
          </w:cols>
          <w:pgMar w:left="320" w:top="890" w:right="379" w:bottom="1440" w:gutter="0" w:footer="0" w:header="0"/>
        </w:sectPr>
      </w:pPr>
    </w:p>
    <w:p>
      <w:pPr>
        <w:ind w:left="980"/>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right="460" w:hanging="5"/>
        <w:spacing w:after="0" w:line="260" w:lineRule="auto"/>
        <w:rPr>
          <w:sz w:val="20"/>
          <w:szCs w:val="20"/>
          <w:color w:val="auto"/>
        </w:rPr>
      </w:pPr>
      <w:r>
        <w:rPr>
          <w:rFonts w:ascii="Arial" w:cs="Arial" w:eastAsia="Arial" w:hAnsi="Arial"/>
          <w:sz w:val="18"/>
          <w:szCs w:val="18"/>
          <w:color w:val="auto"/>
        </w:rPr>
        <w:t>Net of income tax benefit of $99 and income tax expense of $29 for the three months ended March 31, 2026 and 2025, respectively.</w:t>
      </w:r>
    </w:p>
    <w:p>
      <w:pPr>
        <w:spacing w:after="0" w:line="2" w:lineRule="exact"/>
        <w:rPr>
          <w:sz w:val="20"/>
          <w:szCs w:val="20"/>
          <w:color w:val="auto"/>
        </w:rPr>
      </w:pPr>
    </w:p>
    <w:p>
      <w:pPr>
        <w:ind w:right="260" w:hanging="5"/>
        <w:spacing w:after="0" w:line="266" w:lineRule="auto"/>
        <w:rPr>
          <w:sz w:val="20"/>
          <w:szCs w:val="20"/>
          <w:color w:val="auto"/>
        </w:rPr>
      </w:pPr>
      <w:r>
        <w:rPr>
          <w:rFonts w:ascii="Arial" w:cs="Arial" w:eastAsia="Arial" w:hAnsi="Arial"/>
          <w:sz w:val="18"/>
          <w:szCs w:val="18"/>
          <w:color w:val="auto"/>
        </w:rPr>
        <w:t>Net of income tax expense of $661 and income tax benefit of $434 for the three months ended March 31, 2026 and 2025, respectively.</w:t>
      </w:r>
    </w:p>
    <w:p>
      <w:pPr>
        <w:spacing w:after="0" w:line="117" w:lineRule="exact"/>
        <w:rPr>
          <w:sz w:val="20"/>
          <w:szCs w:val="20"/>
          <w:color w:val="auto"/>
        </w:rPr>
      </w:pPr>
    </w:p>
    <w:p>
      <w:pPr>
        <w:sectPr>
          <w:pgSz w:w="11900" w:h="16838" w:orient="portrait"/>
          <w:cols w:equalWidth="0" w:num="2">
            <w:col w:w="1120" w:space="680"/>
            <w:col w:w="9400"/>
          </w:cols>
          <w:pgMar w:left="320" w:top="890"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10. COMMON STOCK</w:t>
      </w:r>
    </w:p>
    <w:p>
      <w:pPr>
        <w:spacing w:after="0" w:line="117" w:lineRule="exact"/>
        <w:rPr>
          <w:sz w:val="20"/>
          <w:szCs w:val="20"/>
          <w:color w:val="auto"/>
        </w:rPr>
      </w:pPr>
    </w:p>
    <w:p>
      <w:pPr>
        <w:ind w:left="980" w:right="160"/>
        <w:spacing w:after="0" w:line="268" w:lineRule="auto"/>
        <w:rPr>
          <w:sz w:val="20"/>
          <w:szCs w:val="20"/>
          <w:color w:val="auto"/>
        </w:rPr>
      </w:pPr>
      <w:r>
        <w:rPr>
          <w:rFonts w:ascii="Arial" w:cs="Arial" w:eastAsia="Arial" w:hAnsi="Arial"/>
          <w:sz w:val="18"/>
          <w:szCs w:val="18"/>
          <w:b w:val="1"/>
          <w:bCs w:val="1"/>
          <w:color w:val="auto"/>
        </w:rPr>
        <w:t xml:space="preserve">Common Stock Issued for the Transaction - </w:t>
      </w:r>
      <w:r>
        <w:rPr>
          <w:rFonts w:ascii="Arial" w:cs="Arial" w:eastAsia="Arial" w:hAnsi="Arial"/>
          <w:sz w:val="18"/>
          <w:szCs w:val="18"/>
          <w:color w:val="auto"/>
        </w:rPr>
        <w:t>Pursuant to the Merger Agreement and as part of the total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we issued shares of our common stock to the selling shareholders in the Transaction. Refer to Note 3, Business Combinations, for more detail.</w:t>
      </w:r>
    </w:p>
    <w:p>
      <w:pPr>
        <w:spacing w:after="0" w:line="63" w:lineRule="exact"/>
        <w:rPr>
          <w:sz w:val="20"/>
          <w:szCs w:val="20"/>
          <w:color w:val="auto"/>
        </w:rPr>
      </w:pPr>
    </w:p>
    <w:p>
      <w:pPr>
        <w:ind w:left="980" w:right="40"/>
        <w:spacing w:after="0" w:line="262" w:lineRule="auto"/>
        <w:rPr>
          <w:sz w:val="20"/>
          <w:szCs w:val="20"/>
          <w:color w:val="auto"/>
        </w:rPr>
      </w:pPr>
      <w:r>
        <w:rPr>
          <w:rFonts w:ascii="Arial" w:cs="Arial" w:eastAsia="Arial" w:hAnsi="Arial"/>
          <w:sz w:val="18"/>
          <w:szCs w:val="18"/>
          <w:b w:val="1"/>
          <w:bCs w:val="1"/>
          <w:color w:val="auto"/>
        </w:rPr>
        <w:t xml:space="preserve">Right of First Refusal Program - </w:t>
      </w:r>
      <w:r>
        <w:rPr>
          <w:rFonts w:ascii="Arial" w:cs="Arial" w:eastAsia="Arial" w:hAnsi="Arial"/>
          <w:sz w:val="18"/>
          <w:szCs w:val="18"/>
          <w:color w:val="auto"/>
        </w:rPr>
        <w:t>Pursuant to the Merger Agreement, the Company and selling shareholders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Agreement (the “ROFR Agreement”). Under the ROFR Agreement, the selling shareholders granted the Company a right of first refusal to repurchase all or any portion of our common stock issued to the selling shareholders pursuant to the Merger Agreement. The Company holds the right of first refusal until November 1, 2028.</w:t>
      </w:r>
    </w:p>
    <w:p>
      <w:pPr>
        <w:spacing w:after="0" w:line="68" w:lineRule="exact"/>
        <w:rPr>
          <w:sz w:val="20"/>
          <w:szCs w:val="20"/>
          <w:color w:val="auto"/>
        </w:rPr>
      </w:pPr>
    </w:p>
    <w:p>
      <w:pPr>
        <w:ind w:left="980" w:right="120"/>
        <w:spacing w:after="0" w:line="256" w:lineRule="auto"/>
        <w:rPr>
          <w:sz w:val="20"/>
          <w:szCs w:val="20"/>
          <w:color w:val="auto"/>
        </w:rPr>
      </w:pPr>
      <w:r>
        <w:rPr>
          <w:rFonts w:ascii="Arial" w:cs="Arial" w:eastAsia="Arial" w:hAnsi="Arial"/>
          <w:sz w:val="18"/>
          <w:szCs w:val="18"/>
          <w:b w:val="1"/>
          <w:bCs w:val="1"/>
          <w:color w:val="auto"/>
        </w:rPr>
        <w:t xml:space="preserve">Share Repurchase Program </w:t>
      </w:r>
      <w:r>
        <w:rPr>
          <w:rFonts w:ascii="Arial" w:cs="Arial" w:eastAsia="Arial" w:hAnsi="Arial"/>
          <w:sz w:val="18"/>
          <w:szCs w:val="18"/>
          <w:color w:val="auto"/>
        </w:rPr>
        <w:t>- Over the past twenty years, our Board of Directors has annually renewed the Company’s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Program. On February 11, 2025, the Board of Directors renewed and authorized the Share Repurchase Program, permitting repurchases through March 31, 2026, of up to 5 million shares of our outstanding common stock (i) in the open market, (ii) in privately negotiated transactions, or (iii) under Rule 10b5-1 trading plans. On February 11, 2026, our Board of Directors authorized the continuation of the Share Repurchase Program. It was effective beginning on February 11, 2026 from which the amount of shares of common stock available to be purchased by the Company was reset to 5 million shares, and the Share Repurchase Program expires on March 31, 2027.</w:t>
      </w:r>
    </w:p>
    <w:p>
      <w:pPr>
        <w:spacing w:after="0" w:line="75" w:lineRule="exact"/>
        <w:rPr>
          <w:sz w:val="20"/>
          <w:szCs w:val="20"/>
          <w:color w:val="auto"/>
        </w:rPr>
      </w:pPr>
    </w:p>
    <w:p>
      <w:pPr>
        <w:ind w:left="980" w:right="100"/>
        <w:spacing w:after="0" w:line="287" w:lineRule="auto"/>
        <w:rPr>
          <w:sz w:val="20"/>
          <w:szCs w:val="20"/>
          <w:color w:val="auto"/>
        </w:rPr>
      </w:pPr>
      <w:r>
        <w:rPr>
          <w:rFonts w:ascii="Arial" w:cs="Arial" w:eastAsia="Arial" w:hAnsi="Arial"/>
          <w:sz w:val="18"/>
          <w:szCs w:val="18"/>
          <w:color w:val="auto"/>
        </w:rPr>
        <w:t>Privately negotiated transactions may include repurchases from employees, officers and directors and repurchases from former partners of Marcum pursuant to the ROFR Agreement, as discussed above.</w:t>
      </w:r>
    </w:p>
    <w:p>
      <w:pPr>
        <w:spacing w:after="0" w:line="45" w:lineRule="exact"/>
        <w:rPr>
          <w:sz w:val="20"/>
          <w:szCs w:val="20"/>
          <w:color w:val="auto"/>
        </w:rPr>
      </w:pPr>
    </w:p>
    <w:p>
      <w:pPr>
        <w:ind w:left="980" w:right="80"/>
        <w:spacing w:after="0" w:line="287" w:lineRule="auto"/>
        <w:rPr>
          <w:sz w:val="20"/>
          <w:szCs w:val="20"/>
          <w:color w:val="auto"/>
        </w:rPr>
      </w:pPr>
      <w:r>
        <w:rPr>
          <w:rFonts w:ascii="Arial" w:cs="Arial" w:eastAsia="Arial" w:hAnsi="Arial"/>
          <w:sz w:val="18"/>
          <w:szCs w:val="18"/>
          <w:color w:val="auto"/>
        </w:rPr>
        <w:t>Refer to Note 14, Common Stock, to the consolidated financial statements contained in our Annual Report on Form 10-K for the year ended December 31, 2025 for more detail about the Share Repurchase Program.</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repurchased 0.1 million shares of our common stock for a total cost of $3.5 million under the ROFR Agreement and</w:t>
      </w:r>
    </w:p>
    <w:p>
      <w:pPr>
        <w:spacing w:after="0" w:line="27"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1.0 million shares of our common stock in the open market for $25.5 million during the three months ended March 31, 2026. During the three months ended March 31, 2025, we made no share repurchases under the ROFR Agreement or from the open market. Additionally, to settle statutory employee withholdings related to vesting of stock awards, we repurchased 0.1 million shares of our common stock at a cost of $2.6 million during the three months ended March 31, 2026 and 0.1 million shares at a cost of $7.7 million during the three months ended March 31,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STOCK PLANS</w:t>
      </w:r>
    </w:p>
    <w:p>
      <w:pPr>
        <w:spacing w:after="0" w:line="117"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We granted various stock-based awards under the CBIZ, Inc. 2019 Stock Omnibus Incentive Plan, as amended (the “2019 Plan”). The 2019 Plan, which expires in 2029, permits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Note 15, Employee Stock Plans to the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14" w:name="page15"/>
    <w:bookmarkEnd w:id="14"/>
    <w:p>
      <w:pPr>
        <w:ind w:left="480"/>
        <w:spacing w:after="0" w:line="287" w:lineRule="auto"/>
        <w:rPr>
          <w:sz w:val="20"/>
          <w:szCs w:val="20"/>
          <w:color w:val="auto"/>
        </w:rPr>
      </w:pPr>
      <w:r>
        <w:rPr>
          <w:rFonts w:ascii="Arial" w:cs="Arial" w:eastAsia="Arial" w:hAnsi="Arial"/>
          <w:sz w:val="18"/>
          <w:szCs w:val="18"/>
          <w:color w:val="auto"/>
        </w:rPr>
        <w:t>contained in our Annual Report on Form 10-K for the year ended December 31, 2025 for further discussion on the 2019 Plan and descriptions of the types of stock-based awards.</w:t>
      </w:r>
    </w:p>
    <w:p>
      <w:pPr>
        <w:spacing w:after="0" w:line="45" w:lineRule="exact"/>
        <w:rPr>
          <w:sz w:val="20"/>
          <w:szCs w:val="20"/>
          <w:color w:val="auto"/>
        </w:rPr>
      </w:pPr>
    </w:p>
    <w:p>
      <w:pPr>
        <w:ind w:left="480" w:right="320"/>
        <w:spacing w:after="0" w:line="287" w:lineRule="auto"/>
        <w:rPr>
          <w:sz w:val="20"/>
          <w:szCs w:val="20"/>
          <w:color w:val="auto"/>
        </w:rPr>
      </w:pPr>
      <w:r>
        <w:rPr>
          <w:rFonts w:ascii="Arial" w:cs="Arial" w:eastAsia="Arial" w:hAnsi="Arial"/>
          <w:sz w:val="18"/>
          <w:szCs w:val="18"/>
          <w:color w:val="auto"/>
        </w:rPr>
        <w:t>Compensation expense for stock-based awards recognized during the three months ended March 31, 2026 and 2025 was as follows (in thousands):</w:t>
      </w:r>
    </w:p>
    <w:p>
      <w:pPr>
        <w:spacing w:after="0" w:line="7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 Ended</w:t>
      </w:r>
    </w:p>
    <w:p>
      <w:pPr>
        <w:jc w:val="center"/>
        <w:ind w:left="504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59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and awards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 units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480" w:right="200"/>
        <w:spacing w:after="0" w:line="268" w:lineRule="auto"/>
        <w:rPr>
          <w:sz w:val="20"/>
          <w:szCs w:val="20"/>
          <w:color w:val="auto"/>
        </w:rPr>
      </w:pPr>
      <w:r>
        <w:rPr>
          <w:rFonts w:ascii="Arial" w:cs="Arial" w:eastAsia="Arial" w:hAnsi="Arial"/>
          <w:sz w:val="18"/>
          <w:szCs w:val="18"/>
          <w:b w:val="1"/>
          <w:bCs w:val="1"/>
          <w:color w:val="auto"/>
        </w:rPr>
        <w:t xml:space="preserve">Stock Options and Restricted Stock Units and Awards – </w:t>
      </w:r>
      <w:r>
        <w:rPr>
          <w:rFonts w:ascii="Arial" w:cs="Arial" w:eastAsia="Arial" w:hAnsi="Arial"/>
          <w:sz w:val="18"/>
          <w:szCs w:val="18"/>
          <w:color w:val="auto"/>
        </w:rPr>
        <w:t>The Company did not grant any stock options, nor were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exercised during the three months ended March 31, 2026. As of March 31, 2026, we have 150 thousand stock options outstanding with a weighted average exercise price per share of $35.22.</w:t>
      </w:r>
    </w:p>
    <w:p>
      <w:pPr>
        <w:spacing w:after="0" w:line="63" w:lineRule="exact"/>
        <w:rPr>
          <w:sz w:val="20"/>
          <w:szCs w:val="20"/>
          <w:color w:val="auto"/>
        </w:rPr>
      </w:pPr>
    </w:p>
    <w:p>
      <w:pPr>
        <w:ind w:left="480" w:right="120"/>
        <w:spacing w:after="0" w:line="268" w:lineRule="auto"/>
        <w:rPr>
          <w:sz w:val="20"/>
          <w:szCs w:val="20"/>
          <w:color w:val="auto"/>
        </w:rPr>
      </w:pPr>
      <w:r>
        <w:rPr>
          <w:rFonts w:ascii="Arial" w:cs="Arial" w:eastAsia="Arial" w:hAnsi="Arial"/>
          <w:sz w:val="18"/>
          <w:szCs w:val="18"/>
          <w:color w:val="auto"/>
        </w:rPr>
        <w:t>During the first quarter of 2026, the Company granted a total of 698 thousand Restricted Stock Units ("RSU") to certain employees, of which 324 thousand RSUs vest on the third anniversary of the grant date, 99 thousand RSUs vest on the second anniversary of the grant date, and 275 thousand RSUs vest evenly over three years.</w:t>
      </w:r>
    </w:p>
    <w:p>
      <w:pPr>
        <w:spacing w:after="0" w:line="63" w:lineRule="exact"/>
        <w:rPr>
          <w:sz w:val="20"/>
          <w:szCs w:val="20"/>
          <w:color w:val="auto"/>
        </w:rPr>
      </w:pPr>
    </w:p>
    <w:p>
      <w:pPr>
        <w:ind w:left="480" w:right="380"/>
        <w:spacing w:after="0" w:line="287" w:lineRule="auto"/>
        <w:rPr>
          <w:sz w:val="20"/>
          <w:szCs w:val="20"/>
          <w:color w:val="auto"/>
        </w:rPr>
      </w:pPr>
      <w:r>
        <w:rPr>
          <w:rFonts w:ascii="Arial" w:cs="Arial" w:eastAsia="Arial" w:hAnsi="Arial"/>
          <w:sz w:val="18"/>
          <w:szCs w:val="18"/>
          <w:color w:val="auto"/>
        </w:rPr>
        <w:t>The following table presents our restricted stock units and awards activity during the three months ended March 31, 2026 (in thousands, except per share unit data):</w:t>
      </w:r>
    </w:p>
    <w:p>
      <w:pPr>
        <w:spacing w:after="0" w:line="82"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5800" w:type="dxa"/>
            <w:vAlign w:val="bottom"/>
          </w:tcPr>
          <w:p>
            <w:pPr>
              <w:spacing w:after="0"/>
              <w:rPr>
                <w:sz w:val="17"/>
                <w:szCs w:val="17"/>
                <w:color w:val="auto"/>
              </w:rPr>
            </w:pPr>
          </w:p>
        </w:tc>
        <w:tc>
          <w:tcPr>
            <w:tcW w:w="33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Restricted Stock Units and Awards</w:t>
            </w:r>
          </w:p>
        </w:tc>
      </w:t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 Average</w:t>
            </w:r>
          </w:p>
        </w:tc>
      </w:tr>
      <w:tr>
        <w:trPr>
          <w:trHeight w:val="144"/>
        </w:trPr>
        <w:tc>
          <w:tcPr>
            <w:tcW w:w="5800" w:type="dxa"/>
            <w:vAlign w:val="bottom"/>
          </w:tcPr>
          <w:p>
            <w:pPr>
              <w:spacing w:after="0"/>
              <w:rPr>
                <w:sz w:val="12"/>
                <w:szCs w:val="12"/>
                <w:color w:val="auto"/>
              </w:rPr>
            </w:pPr>
          </w:p>
        </w:tc>
        <w:tc>
          <w:tcPr>
            <w:tcW w:w="170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rPr>
              <w:t>Grant-Date</w:t>
            </w:r>
          </w:p>
        </w:tc>
      </w:tr>
      <w:tr>
        <w:trPr>
          <w:trHeight w:val="189"/>
        </w:trPr>
        <w:tc>
          <w:tcPr>
            <w:tcW w:w="58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28.16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or released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 or 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3" w:lineRule="exact"/>
        <w:rPr>
          <w:sz w:val="20"/>
          <w:szCs w:val="20"/>
          <w:color w:val="auto"/>
        </w:rPr>
      </w:pPr>
    </w:p>
    <w:p>
      <w:pPr>
        <w:ind w:left="1280" w:hanging="800"/>
        <w:spacing w:after="0"/>
        <w:tabs>
          <w:tab w:leader="none" w:pos="12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shares; awards are granted at no cost to the recipients.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Performance Share Units (“PSUs”) – </w:t>
      </w:r>
      <w:r>
        <w:rPr>
          <w:rFonts w:ascii="Arial" w:cs="Arial" w:eastAsia="Arial" w:hAnsi="Arial"/>
          <w:sz w:val="18"/>
          <w:szCs w:val="18"/>
          <w:color w:val="auto"/>
        </w:rPr>
        <w:t>PSUs are earned based on our financial performance over a contractual term of three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years and the associated expense is recognized over that period based on the fair value of the award. A three-year cliff vesting</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schedule of the PSUs is dependent upon the Company’s performance measured against pre-established goals which are mainly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on a weighted combination of an earnings per share target and a total growth in revenue target or relative total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shareholder return target. The fair value of PSUs is calculated using the market value of a share of our common stock on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of grant. For performance achieved above specified levels, the recipient may earn additional shares of stock, not to</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exceed 200% of the number of PSUs initially granted, except for the PSUs granted in 2025 that shall not to exceed 300%.</w:t>
      </w:r>
    </w:p>
    <w:p>
      <w:pPr>
        <w:spacing w:after="0" w:line="99" w:lineRule="exact"/>
        <w:rPr>
          <w:sz w:val="20"/>
          <w:szCs w:val="20"/>
          <w:color w:val="auto"/>
        </w:rPr>
      </w:pPr>
    </w:p>
    <w:p>
      <w:pPr>
        <w:ind w:left="480" w:right="220"/>
        <w:spacing w:after="0" w:line="287" w:lineRule="auto"/>
        <w:rPr>
          <w:sz w:val="20"/>
          <w:szCs w:val="20"/>
          <w:color w:val="auto"/>
        </w:rPr>
      </w:pPr>
      <w:r>
        <w:rPr>
          <w:rFonts w:ascii="Arial" w:cs="Arial" w:eastAsia="Arial" w:hAnsi="Arial"/>
          <w:sz w:val="18"/>
          <w:szCs w:val="18"/>
          <w:color w:val="auto"/>
        </w:rPr>
        <w:t>The following table presents our PSUs activity during the three months ended March 31, 2026 (in thousands, except per share unit data):</w:t>
      </w:r>
    </w:p>
    <w:p>
      <w:pPr>
        <w:spacing w:after="0" w:line="7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right"/>
              <w:ind w:right="96"/>
              <w:spacing w:after="0"/>
              <w:rPr>
                <w:sz w:val="20"/>
                <w:szCs w:val="20"/>
                <w:color w:val="auto"/>
              </w:rPr>
            </w:pPr>
            <w:r>
              <w:rPr>
                <w:rFonts w:ascii="Arial" w:cs="Arial" w:eastAsia="Arial" w:hAnsi="Arial"/>
                <w:sz w:val="14"/>
                <w:szCs w:val="14"/>
                <w:b w:val="1"/>
                <w:bCs w:val="1"/>
                <w:color w:val="auto"/>
              </w:rPr>
              <w:t>Weighted Average Grant-Date</w:t>
            </w:r>
          </w:p>
        </w:tc>
      </w:tr>
      <w:tr>
        <w:trPr>
          <w:trHeight w:val="189"/>
        </w:trPr>
        <w:tc>
          <w:tcPr>
            <w:tcW w:w="36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16"/>
              <w:spacing w:after="0" w:line="189" w:lineRule="exact"/>
              <w:rPr>
                <w:sz w:val="20"/>
                <w:szCs w:val="20"/>
                <w:color w:val="auto"/>
              </w:rPr>
            </w:pPr>
            <w:r>
              <w:rPr>
                <w:rFonts w:ascii="Arial" w:cs="Arial" w:eastAsia="Arial" w:hAnsi="Arial"/>
                <w:sz w:val="14"/>
                <w:szCs w:val="14"/>
                <w:b w:val="1"/>
                <w:bCs w:val="1"/>
                <w:color w:val="auto"/>
              </w:rPr>
              <w:t xml:space="preserve">Fair Value Per Unit </w:t>
            </w:r>
            <w:r>
              <w:rPr>
                <w:rFonts w:ascii="Arial" w:cs="Arial" w:eastAsia="Arial" w:hAnsi="Arial"/>
                <w:sz w:val="18"/>
                <w:szCs w:val="18"/>
                <w:b w:val="1"/>
                <w:bCs w:val="1"/>
                <w:color w:val="auto"/>
                <w:vertAlign w:val="superscript"/>
              </w:rPr>
              <w:t>(1)</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shd w:val="clear" w:color="auto" w:fill="CCEEFF"/>
          </w:tcPr>
          <w:p>
            <w:pPr>
              <w:jc w:val="center"/>
              <w:ind w:left="1136"/>
              <w:spacing w:after="0"/>
              <w:rPr>
                <w:sz w:val="20"/>
                <w:szCs w:val="20"/>
                <w:color w:val="auto"/>
              </w:rPr>
            </w:pPr>
            <w:r>
              <w:rPr>
                <w:rFonts w:ascii="Arial" w:cs="Arial" w:eastAsia="Arial" w:hAnsi="Arial"/>
                <w:sz w:val="18"/>
                <w:szCs w:val="18"/>
                <w:color w:val="auto"/>
                <w:w w:val="99"/>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center"/>
              <w:ind w:left="1136"/>
              <w:spacing w:after="0"/>
              <w:rPr>
                <w:sz w:val="20"/>
                <w:szCs w:val="20"/>
                <w:color w:val="auto"/>
              </w:rPr>
            </w:pPr>
            <w:r>
              <w:rPr>
                <w:rFonts w:ascii="Arial" w:cs="Arial" w:eastAsia="Arial" w:hAnsi="Arial"/>
                <w:sz w:val="18"/>
                <w:szCs w:val="18"/>
                <w:color w:val="auto"/>
                <w:w w:val="99"/>
              </w:rPr>
              <w:t>256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shd w:val="clear" w:color="auto" w:fill="CCEEFF"/>
          </w:tcPr>
          <w:p>
            <w:pPr>
              <w:jc w:val="center"/>
              <w:ind w:left="1136"/>
              <w:spacing w:after="0"/>
              <w:rPr>
                <w:sz w:val="20"/>
                <w:szCs w:val="20"/>
                <w:color w:val="auto"/>
              </w:rPr>
            </w:pPr>
            <w:r>
              <w:rPr>
                <w:rFonts w:ascii="Arial" w:cs="Arial" w:eastAsia="Arial" w:hAnsi="Arial"/>
                <w:sz w:val="18"/>
                <w:szCs w:val="18"/>
                <w:color w:val="auto"/>
                <w:w w:val="99"/>
              </w:rPr>
              <w:t>(102)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Outstanding at March 31, 2026</w:t>
            </w:r>
          </w:p>
        </w:tc>
        <w:tc>
          <w:tcPr>
            <w:tcW w:w="1680" w:type="dxa"/>
            <w:vAlign w:val="bottom"/>
            <w:tcBorders>
              <w:bottom w:val="single" w:sz="8" w:color="auto"/>
            </w:tcBorders>
          </w:tcPr>
          <w:p>
            <w:pPr>
              <w:jc w:val="center"/>
              <w:ind w:left="1136"/>
              <w:spacing w:after="0"/>
              <w:rPr>
                <w:sz w:val="20"/>
                <w:szCs w:val="20"/>
                <w:color w:val="auto"/>
              </w:rPr>
            </w:pPr>
            <w:r>
              <w:rPr>
                <w:rFonts w:ascii="Arial" w:cs="Arial" w:eastAsia="Arial" w:hAnsi="Arial"/>
                <w:sz w:val="18"/>
                <w:szCs w:val="18"/>
                <w:color w:val="auto"/>
                <w:w w:val="99"/>
              </w:rPr>
              <w:t>407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45.98</w:t>
            </w:r>
          </w:p>
        </w:tc>
      </w:tr>
      <w:tr>
        <w:trPr>
          <w:trHeight w:val="20"/>
        </w:trPr>
        <w:tc>
          <w:tcPr>
            <w:tcW w:w="36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31" w:lineRule="exact"/>
        <w:rPr>
          <w:sz w:val="20"/>
          <w:szCs w:val="20"/>
          <w:color w:val="auto"/>
        </w:rPr>
      </w:pPr>
    </w:p>
    <w:p>
      <w:pPr>
        <w:ind w:left="1280" w:hanging="800"/>
        <w:spacing w:after="0"/>
        <w:tabs>
          <w:tab w:leader="none" w:pos="128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PSUs; PSUs are granted at no cost to the recipients.</w:t>
      </w:r>
    </w:p>
    <w:p>
      <w:pPr>
        <w:spacing w:after="0" w:line="200" w:lineRule="exact"/>
        <w:rPr>
          <w:rFonts w:ascii="Arial" w:cs="Arial" w:eastAsia="Arial" w:hAnsi="Arial"/>
          <w:sz w:val="23"/>
          <w:szCs w:val="23"/>
          <w:color w:val="auto"/>
          <w:vertAlign w:val="superscript"/>
        </w:rPr>
      </w:pPr>
    </w:p>
    <w:p>
      <w:pPr>
        <w:spacing w:after="0" w:line="331" w:lineRule="exact"/>
        <w:rPr>
          <w:rFonts w:ascii="Arial" w:cs="Arial" w:eastAsia="Arial" w:hAnsi="Arial"/>
          <w:sz w:val="23"/>
          <w:szCs w:val="23"/>
          <w:color w:val="auto"/>
          <w:vertAlign w:val="superscript"/>
        </w:rPr>
      </w:pPr>
    </w:p>
    <w:p>
      <w:pPr>
        <w:ind w:left="5040"/>
        <w:spacing w:after="0"/>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EARNINGS PER SHARE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2026 and 2025 (in thousands, except per share data):</w:t>
      </w:r>
    </w:p>
    <w:p>
      <w:pPr>
        <w:spacing w:after="0" w:line="122"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0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522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161,612</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122,773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61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Basic</w:t>
            </w:r>
          </w:p>
        </w:tc>
        <w:tc>
          <w:tcPr>
            <w:tcW w:w="50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Stock options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Restricted stock units and awards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Contingent shares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3"/>
            <w:shd w:val="clear" w:color="auto" w:fill="CCEEFF"/>
          </w:tcPr>
          <w:p>
            <w:pPr>
              <w:ind w:left="240"/>
              <w:spacing w:after="0" w:line="223" w:lineRule="exact"/>
              <w:rPr>
                <w:sz w:val="20"/>
                <w:szCs w:val="20"/>
                <w:color w:val="auto"/>
              </w:rPr>
            </w:pPr>
            <w:r>
              <w:rPr>
                <w:rFonts w:ascii="Arial" w:cs="Arial" w:eastAsia="Arial" w:hAnsi="Arial"/>
                <w:sz w:val="18"/>
                <w:szCs w:val="18"/>
                <w:color w:val="auto"/>
              </w:rPr>
              <w:t xml:space="preserve">Diluted weighted average common shares outstanding </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180" w:type="dxa"/>
            <w:vAlign w:val="bottom"/>
            <w:gridSpan w:val="3"/>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180"/>
          </w:cols>
          <w:pgMar w:left="320" w:top="1228" w:right="399" w:bottom="1440" w:gutter="0" w:footer="0" w:header="0"/>
        </w:sectPr>
      </w:pPr>
    </w:p>
    <w:p>
      <w:pPr>
        <w:ind w:left="98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jc w:val="both"/>
        <w:ind w:right="120" w:hanging="5"/>
        <w:spacing w:after="0" w:line="268" w:lineRule="auto"/>
        <w:rPr>
          <w:sz w:val="20"/>
          <w:szCs w:val="20"/>
          <w:color w:val="auto"/>
        </w:rPr>
      </w:pPr>
      <w:r>
        <w:rPr>
          <w:rFonts w:ascii="Arial" w:cs="Arial" w:eastAsia="Arial" w:hAnsi="Arial"/>
          <w:sz w:val="18"/>
          <w:szCs w:val="18"/>
          <w:color w:val="auto"/>
        </w:rPr>
        <w:t>A total of 369 thousand and 44 thousand shares of stock-based awards were excluded from the calculation of diluted earnings per share for the three months ended March 31, 2026 and 2025, respectively, as their effect would be anti-dilutive.</w:t>
      </w:r>
    </w:p>
    <w:p>
      <w:pPr>
        <w:spacing w:after="0" w:line="63" w:lineRule="exact"/>
        <w:rPr>
          <w:sz w:val="20"/>
          <w:szCs w:val="20"/>
          <w:color w:val="auto"/>
        </w:rPr>
      </w:pPr>
    </w:p>
    <w:p>
      <w:pPr>
        <w:ind w:hanging="5"/>
        <w:spacing w:after="0" w:line="287" w:lineRule="auto"/>
        <w:rPr>
          <w:sz w:val="20"/>
          <w:szCs w:val="20"/>
          <w:color w:val="auto"/>
        </w:rPr>
      </w:pPr>
      <w:r>
        <w:rPr>
          <w:rFonts w:ascii="Arial" w:cs="Arial" w:eastAsia="Arial" w:hAnsi="Arial"/>
          <w:sz w:val="18"/>
          <w:szCs w:val="18"/>
          <w:color w:val="auto"/>
        </w:rPr>
        <w:t>Contingent shares represent additional shares to be issued for purchase price earned by former owners of businesses acquired by us once future conditions have been met.</w:t>
      </w:r>
    </w:p>
    <w:p>
      <w:pPr>
        <w:spacing w:after="0" w:line="45" w:lineRule="exact"/>
        <w:rPr>
          <w:sz w:val="20"/>
          <w:szCs w:val="20"/>
          <w:color w:val="auto"/>
        </w:rPr>
      </w:pPr>
    </w:p>
    <w:p>
      <w:pPr>
        <w:ind w:right="20" w:hanging="5"/>
        <w:spacing w:after="0" w:line="259" w:lineRule="auto"/>
        <w:rPr>
          <w:sz w:val="20"/>
          <w:szCs w:val="20"/>
          <w:color w:val="auto"/>
        </w:rPr>
      </w:pPr>
      <w:r>
        <w:rPr>
          <w:rFonts w:ascii="Arial" w:cs="Arial" w:eastAsia="Arial" w:hAnsi="Arial"/>
          <w:sz w:val="18"/>
          <w:szCs w:val="18"/>
          <w:color w:val="auto"/>
        </w:rPr>
        <w:t>The denominator used in calculating diluted earnings per share did not include 407 thousand PSUs for the three months ended March 31, 2026. The denominator used in calculating diluted earnings per share did not include 239 thousand PSUs for the three months ended March 31, 2025. The performance conditions associated with these PSUs were not met and consequently none of these PSUs were considered as issuable for the three months ended March 31, 2026 and 2025.</w:t>
      </w:r>
    </w:p>
    <w:p>
      <w:pPr>
        <w:spacing w:after="0" w:line="125" w:lineRule="exact"/>
        <w:rPr>
          <w:sz w:val="20"/>
          <w:szCs w:val="20"/>
          <w:color w:val="auto"/>
        </w:rPr>
      </w:pPr>
    </w:p>
    <w:p>
      <w:pPr>
        <w:sectPr>
          <w:pgSz w:w="11900" w:h="16838" w:orient="portrait"/>
          <w:cols w:equalWidth="0" w:num="2">
            <w:col w:w="1120" w:space="680"/>
            <w:col w:w="9380"/>
          </w:cols>
          <w:pgMar w:left="320" w:top="1228"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13. GOODWILL</w:t>
      </w:r>
    </w:p>
    <w:p>
      <w:pPr>
        <w:spacing w:after="0" w:line="117" w:lineRule="exact"/>
        <w:rPr>
          <w:sz w:val="20"/>
          <w:szCs w:val="20"/>
          <w:color w:val="auto"/>
        </w:rPr>
      </w:pPr>
    </w:p>
    <w:p>
      <w:pPr>
        <w:ind w:left="980" w:right="120"/>
        <w:spacing w:after="0" w:line="259" w:lineRule="auto"/>
        <w:rPr>
          <w:sz w:val="20"/>
          <w:szCs w:val="20"/>
          <w:color w:val="auto"/>
        </w:rPr>
      </w:pPr>
      <w:r>
        <w:rPr>
          <w:rFonts w:ascii="Arial" w:cs="Arial" w:eastAsia="Arial" w:hAnsi="Arial"/>
          <w:sz w:val="18"/>
          <w:szCs w:val="18"/>
          <w:color w:val="auto"/>
        </w:rPr>
        <w:t>During the first quarter of 2026, we completed certain organizational changes which resulted in a change to our presentation of reportable segments. The National Practice practice group, which consisted of a single reporting unit, is now included in the Financial Services practice group to align the internal management and reporting structure with the services provided by the practice groups. As of February 28, 2026, immediately after the organizational changes, there are a total of five reporting units, of which three are within the Financial Services practice group and two are within the Benefits and Insurances practice group.</w:t>
      </w:r>
    </w:p>
    <w:p>
      <w:pPr>
        <w:spacing w:after="0" w:line="71" w:lineRule="exact"/>
        <w:rPr>
          <w:sz w:val="20"/>
          <w:szCs w:val="20"/>
          <w:color w:val="auto"/>
        </w:rPr>
      </w:pPr>
    </w:p>
    <w:p>
      <w:pPr>
        <w:jc w:val="both"/>
        <w:ind w:left="980" w:right="280"/>
        <w:spacing w:after="0" w:line="282" w:lineRule="auto"/>
        <w:rPr>
          <w:sz w:val="20"/>
          <w:szCs w:val="20"/>
          <w:color w:val="auto"/>
        </w:rPr>
      </w:pPr>
      <w:r>
        <w:rPr>
          <w:rFonts w:ascii="Arial" w:cs="Arial" w:eastAsia="Arial" w:hAnsi="Arial"/>
          <w:sz w:val="17"/>
          <w:szCs w:val="17"/>
          <w:color w:val="auto"/>
        </w:rPr>
        <w:t>As a result of the aforementioned changes in reporting units, we performed a qualitative assessment immediately before the change in reporting units as it relates to the two reporting units impacted by the change. We concluded that it was more likely than not that the fair values of these reporting units immediately before the change exceeded their respective carrying values and, therefore, goodwill related to those reporting units immediately before the change was determined to not be impaired.</w:t>
      </w:r>
    </w:p>
    <w:p>
      <w:pPr>
        <w:spacing w:after="0" w:line="53"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The change in reporting units is considered a triggering event. We performed a quantitative assessment immediately after the change in reporting units by comparing the fair values of the reporting units to their respective carrying values. In measuring the estimated fair value of each reporting unit, we utilized a combination of an income approach and a market approach. Under the income approach, a discounted cash flow analysis is performed with estimates based on forecasted and projected operating cash flows, with significant assumptions related to revenue growth rates, profitability margins, and discount rates, which all vary among reporting units. The market approach utilizes the guideline public</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type w:val="continuous"/>
        </w:sectPr>
      </w:pPr>
    </w:p>
    <w:bookmarkStart w:id="16" w:name="page17"/>
    <w:bookmarkEnd w:id="16"/>
    <w:p>
      <w:pPr>
        <w:ind w:left="980" w:right="540"/>
        <w:spacing w:after="0" w:line="268" w:lineRule="auto"/>
        <w:rPr>
          <w:sz w:val="20"/>
          <w:szCs w:val="20"/>
          <w:color w:val="auto"/>
        </w:rPr>
      </w:pPr>
      <w:r>
        <w:rPr>
          <w:rFonts w:ascii="Arial" w:cs="Arial" w:eastAsia="Arial" w:hAnsi="Arial"/>
          <w:sz w:val="18"/>
          <w:szCs w:val="18"/>
          <w:color w:val="auto"/>
        </w:rPr>
        <w:t>company method and is based on revenue and earnings multiple data derived from publicly traded peer group companies. Based on the results of the quantitative assessment, we concluded that the estimated fair values of our reporting units immediately after the change were in excess of their respective carrying values, and goodwill was not impaired.</w:t>
      </w:r>
    </w:p>
    <w:p>
      <w:pPr>
        <w:spacing w:after="0" w:line="63"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We have experienced a decline in the Company's market capitalization. This decline, along with increases in discount rates used in the impairment analysis, reduced the excess of fair value over carrying value of our Financial Accounting Services reporting unit within the Financial Services practice group, which exceeded its carrying value by approximately 7.4%, and of our Property and Casualty reporting unit within our Benefits and Insurance Services practice group, which exceeded its carrying value by approximately 14.5%. As of March 31, 2026, the carrying value of Financial Accounting Services' goodwill was $1,679.9 million and the carrying value of Property and Casualty's goodwill was $78.8 million.</w:t>
      </w:r>
    </w:p>
    <w:p>
      <w:pPr>
        <w:spacing w:after="0" w:line="74"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It is possible, depending upon a number of factors that are not determinable at this time or within our control, that the fair value of one or more of our reporting units could decrease in the future, which could result in an impairment to goodwill. Such factors include failure to achieve the anticipated benefits of the Transaction, significant negative industry or economic trends, disruptions to our business, adverse changes resulting from new governmental regulations, negative impact on client list due to loss of customers, impact on client list due to declining revenue of existing customers, or divestitures. Additionally, further declines in our market capitalization may result in the need for impairment assessments in the future, which could result in the recognition of an impairment charge. Further, any significant adverse change in our near or long-term projections or macroeconomic conditions could result in future impairment charges, which could be material.</w:t>
      </w:r>
    </w:p>
    <w:p>
      <w:pPr>
        <w:spacing w:after="0" w:line="77" w:lineRule="exact"/>
        <w:rPr>
          <w:sz w:val="20"/>
          <w:szCs w:val="20"/>
          <w:color w:val="auto"/>
        </w:rPr>
      </w:pPr>
    </w:p>
    <w:p>
      <w:pPr>
        <w:ind w:left="980" w:right="220"/>
        <w:spacing w:after="0" w:line="287" w:lineRule="auto"/>
        <w:rPr>
          <w:sz w:val="20"/>
          <w:szCs w:val="20"/>
          <w:color w:val="auto"/>
        </w:rPr>
      </w:pPr>
      <w:r>
        <w:rPr>
          <w:rFonts w:ascii="Arial" w:cs="Arial" w:eastAsia="Arial" w:hAnsi="Arial"/>
          <w:sz w:val="18"/>
          <w:szCs w:val="18"/>
          <w:color w:val="auto"/>
        </w:rPr>
        <w:t>A summary of changes in the carrying amount of goodwill by operating segment for the three months ended March 31, 2026 is as follows (in thousands):</w:t>
      </w:r>
    </w:p>
    <w:p>
      <w:pPr>
        <w:spacing w:after="0" w:line="109"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 and</w:t>
            </w:r>
          </w:p>
        </w:tc>
        <w:tc>
          <w:tcPr>
            <w:tcW w:w="22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National</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Practice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Goodwill at December 31, 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2,039,675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2,413,786</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(83,987)</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at December 31, 2025</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2,329,799</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 Gross goodwill</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 - Accumulated impairment</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Goodwill at March 31, 2026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2,416,796</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Accumulated impairment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(83,987)</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at March 31,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2,332,809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0" w:right="440" w:hanging="820"/>
        <w:spacing w:after="0" w:line="231" w:lineRule="auto"/>
        <w:tabs>
          <w:tab w:leader="none" w:pos="179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Reflects change in reporting units which is the transfer of the reporting unit previously included under the National Practice segment to the Financial Services segment during the three months ended March 31,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DISCLOSURES</w:t>
      </w:r>
    </w:p>
    <w:p>
      <w:pPr>
        <w:spacing w:after="0" w:line="117"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As discussed in Note 13. Goodwill, the National Practices reportable segment, which consisted of a single reporting unit, was combined with a reporting unit included in the Financial Services practice group to better align our current internal management information reviewed by Chief Operating Decision Maker and reporting structure with the services provided. As a result of these changes, we now operate with two reportable segments: Financial Services and Benefits and Insurances Services. Financial results of the Financial Service Practice Group for the three months ended March 31, 2025 were adjusted to reflect the change in reportable segments.</w:t>
      </w:r>
    </w:p>
    <w:p>
      <w:pPr>
        <w:spacing w:after="0" w:line="74" w:lineRule="exact"/>
        <w:rPr>
          <w:sz w:val="20"/>
          <w:szCs w:val="20"/>
          <w:color w:val="auto"/>
        </w:rPr>
      </w:pPr>
    </w:p>
    <w:p>
      <w:pPr>
        <w:ind w:left="980" w:right="260"/>
        <w:spacing w:after="0" w:line="262"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Included in Corporate and Other are operating expenses that are not directly allocated to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right="260"/>
        <w:spacing w:after="0" w:line="259" w:lineRule="auto"/>
        <w:rPr>
          <w:sz w:val="20"/>
          <w:szCs w:val="20"/>
          <w:color w:val="auto"/>
        </w:rPr>
      </w:pPr>
      <w:r>
        <w:rPr>
          <w:rFonts w:ascii="Arial" w:cs="Arial" w:eastAsia="Arial" w:hAnsi="Arial"/>
          <w:sz w:val="18"/>
          <w:szCs w:val="18"/>
          <w:color w:val="auto"/>
        </w:rPr>
        <w:t>Accounting policies of the practice groups are the same as those described in Note 1, Basis of Presentation and Significant Accounting Policies, to the Annual Report on Form 10-K for the year ended December 31, 2025.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practice groups respective revenue and pre-tax income, significant segment expenses, and a reconciliation of segment profit or loss measure to the consolidated income before income tax expense for the three months ended March 31, 2026 and 2025 is presented below. The segment profit or loss measure for the three months ended March 31, 2025 has been restated and reflects the current two reportable segments. We do not manage our assets on a segment basis, therefore segment assets are not presented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March 31, 2026 and 2025 was as follows (in thousands):</w:t>
      </w:r>
    </w:p>
    <w:p>
      <w:pPr>
        <w:spacing w:after="0" w:line="135"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20955</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 and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740,330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108,249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848,579</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expenses: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00" w:type="dxa"/>
            <w:vAlign w:val="bottom"/>
          </w:tcPr>
          <w:p>
            <w:pPr>
              <w:ind w:left="24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407,772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472,459</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 costs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31,686</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95,409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112,357</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expense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531,643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616,502</w:t>
            </w:r>
          </w:p>
        </w:tc>
        <w:tc>
          <w:tcPr>
            <w:tcW w:w="0" w:type="dxa"/>
            <w:vAlign w:val="bottom"/>
          </w:tcPr>
          <w:p>
            <w:pPr>
              <w:spacing w:after="0"/>
              <w:rPr>
                <w:sz w:val="1"/>
                <w:szCs w:val="1"/>
                <w:color w:val="auto"/>
              </w:rPr>
            </w:pP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Segment income before income tax expense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232,077</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operating expenses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70"/>
        </w:trPr>
        <w:tc>
          <w:tcPr>
            <w:tcW w:w="5300" w:type="dxa"/>
            <w:vAlign w:val="bottom"/>
          </w:tcPr>
          <w:p>
            <w:pPr>
              <w:ind w:left="220"/>
              <w:spacing w:after="0"/>
              <w:rPr>
                <w:sz w:val="20"/>
                <w:szCs w:val="20"/>
                <w:color w:val="auto"/>
              </w:rPr>
            </w:pPr>
            <w:r>
              <w:rPr>
                <w:rFonts w:ascii="Arial" w:cs="Arial" w:eastAsia="Arial" w:hAnsi="Arial"/>
                <w:sz w:val="18"/>
                <w:szCs w:val="18"/>
                <w:color w:val="auto"/>
              </w:rPr>
              <w:t>General &amp; administrative expenses</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29,568</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23,916</w:t>
            </w:r>
          </w:p>
        </w:tc>
        <w:tc>
          <w:tcPr>
            <w:tcW w:w="0" w:type="dxa"/>
            <w:vAlign w:val="bottom"/>
          </w:tcPr>
          <w:p>
            <w:pPr>
              <w:spacing w:after="0"/>
              <w:rPr>
                <w:sz w:val="1"/>
                <w:szCs w:val="1"/>
                <w:color w:val="auto"/>
              </w:rPr>
            </w:pPr>
          </w:p>
        </w:tc>
      </w:tr>
      <w:tr>
        <w:trPr>
          <w:trHeight w:val="270"/>
        </w:trPr>
        <w:tc>
          <w:tcPr>
            <w:tcW w:w="5300" w:type="dxa"/>
            <w:vAlign w:val="bottom"/>
          </w:tcPr>
          <w:p>
            <w:pPr>
              <w:ind w:left="220"/>
              <w:spacing w:after="0"/>
              <w:rPr>
                <w:sz w:val="20"/>
                <w:szCs w:val="20"/>
                <w:color w:val="auto"/>
              </w:rPr>
            </w:pPr>
            <w:r>
              <w:rPr>
                <w:rFonts w:ascii="Arial" w:cs="Arial" w:eastAsia="Arial" w:hAnsi="Arial"/>
                <w:sz w:val="18"/>
                <w:szCs w:val="18"/>
                <w:color w:val="auto"/>
              </w:rPr>
              <w:t>Gain from acquisition related adjustment,net</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before income tax expense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226,472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8" w:right="339" w:bottom="1440" w:gutter="0" w:footer="0" w:header="0"/>
        </w:sectPr>
      </w:pPr>
    </w:p>
    <w:bookmarkStart w:id="18" w:name="page19"/>
    <w:bookmarkEnd w:id="18"/>
    <w:p>
      <w:pPr>
        <w:ind w:left="7900"/>
        <w:spacing w:after="0"/>
        <w:rPr>
          <w:sz w:val="20"/>
          <w:szCs w:val="20"/>
          <w:color w:val="auto"/>
        </w:rPr>
      </w:pPr>
      <w:r>
        <w:rPr>
          <w:rFonts w:ascii="Arial" w:cs="Arial" w:eastAsia="Arial" w:hAnsi="Arial"/>
          <w:sz w:val="16"/>
          <w:szCs w:val="16"/>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20955</wp:posOffset>
            </wp:positionV>
            <wp:extent cx="245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44" w:lineRule="exact"/>
        <w:rPr>
          <w:sz w:val="20"/>
          <w:szCs w:val="20"/>
          <w:color w:val="auto"/>
        </w:rPr>
      </w:pPr>
    </w:p>
    <w:tbl>
      <w:tblPr>
        <w:tblLayout w:type="fixed"/>
        <w:tblInd w:w="208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 and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Insurance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Services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112,976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838,014</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expenses: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421,457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66,665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488,122</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90,562</w:t>
            </w: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expense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520,573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605,604</w:t>
            </w:r>
          </w:p>
        </w:tc>
        <w:tc>
          <w:tcPr>
            <w:tcW w:w="0" w:type="dxa"/>
            <w:vAlign w:val="bottom"/>
          </w:tcPr>
          <w:p>
            <w:pPr>
              <w:spacing w:after="0"/>
              <w:rPr>
                <w:sz w:val="1"/>
                <w:szCs w:val="1"/>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Segment income before income tax expense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27,945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232,410</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operating expenses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70"/>
        </w:trPr>
        <w:tc>
          <w:tcPr>
            <w:tcW w:w="5280" w:type="dxa"/>
            <w:vAlign w:val="bottom"/>
          </w:tcPr>
          <w:p>
            <w:pPr>
              <w:ind w:left="220"/>
              <w:spacing w:after="0"/>
              <w:rPr>
                <w:sz w:val="20"/>
                <w:szCs w:val="20"/>
                <w:color w:val="auto"/>
              </w:rPr>
            </w:pPr>
            <w:r>
              <w:rPr>
                <w:rFonts w:ascii="Arial" w:cs="Arial" w:eastAsia="Arial" w:hAnsi="Arial"/>
                <w:sz w:val="18"/>
                <w:szCs w:val="18"/>
                <w:color w:val="auto"/>
              </w:rPr>
              <w:t>General &amp; administrative expenses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28,070</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17" w:lineRule="exact"/>
        <w:rPr>
          <w:sz w:val="20"/>
          <w:szCs w:val="20"/>
          <w:color w:val="auto"/>
        </w:rPr>
      </w:pPr>
    </w:p>
    <w:p>
      <w:pPr>
        <w:jc w:val="both"/>
        <w:ind w:left="980" w:right="180"/>
        <w:spacing w:after="0" w:line="268" w:lineRule="auto"/>
        <w:rPr>
          <w:sz w:val="20"/>
          <w:szCs w:val="20"/>
          <w:color w:val="auto"/>
        </w:rPr>
      </w:pPr>
      <w:r>
        <w:rPr>
          <w:rFonts w:ascii="Arial" w:cs="Arial" w:eastAsia="Arial" w:hAnsi="Arial"/>
          <w:sz w:val="18"/>
          <w:szCs w:val="18"/>
          <w:color w:val="auto"/>
        </w:rPr>
        <w:t>Subsequent to March 31, 2026 and through April 27, we repurchased approximately 27 thousand shares of our common stock under the ROFR Agreement at a total cost of approximately $0.8 million and we repurchased 0.9 million shares of our common stock at a total cost of approximately $27.0 million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Unless the context otherwise requires, references in this Quarterly Report on Form 10-Q to “we," “us," “our," "CBIZ" or the "Company" shall mean CBIZ, Inc., and its operating subsidiaries.</w:t>
      </w:r>
    </w:p>
    <w:p>
      <w:pPr>
        <w:spacing w:after="0" w:line="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discussion is intended to assist in the understanding of our financial position at March 31, 2026 and December 31, 2025, results of operations for the three months ended March 31, 2026 and 2025, and cash flows for the three months ended March 31, 2026 and 2025, and should be read in conjunction with the unaudited condensed consolidated financial statements and related notes included elsewhere in this Quarterly Report on Form 10-Q and with our Annual Report on Form 10-K for the year ended December 31, 2025.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our Annual Report on Form 10-K for the year ended December 31, 2025.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As discussed in Note 13, Goodwill, the National Practices practice group, which consisted of a single reporting unit, is now included in the Financial Services practice group to align our internal management and reporting structure with the services provided. As a result of these changes, we now operate with two reportable segments: Financial Services and Benefits and Insurances Services. Financial results of the Financial Service Practice Group for the three months ended March 31, 2025 were adjusted to reflect the change in reportable segments.</w:t>
      </w:r>
    </w:p>
    <w:p>
      <w:pPr>
        <w:spacing w:after="0" w:line="7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2025 for further discussion of our business and strategies, as well as the external relationships and regulatory factors that currently impact our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 for the three months ended March 31, 2026 increased by $10.6 million, or 1.3%, to $848.6 million from $838.0 million for the same period in 2025. Same-unit revenue increased by approximately $8.4 million, or 1.0%, as compared to the same period in 2025. Revenue from newly acquired operations contributed $2.1 million of incremental revenue for the three months ended March 31, 2026, as compared to the same period in 2025. A detailed discussion of revenue by practice group is included under "Operating Practice Groups."</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the three months ended March 31, 2026, net income was $161.6 million, or $2.63 per diluted share, compared to $122.8 million, or $1.91 per diluted share, for the same period in 2025. Refer to “Results of Operations" for a detailed discussion of the components of net income.</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uncertainty in the current economic and geopolitical environment may lead to softness in the demand for the nonrecurring project-based services we offer. We expect this softness in demand caused by the current economic and geopolitical environment could continue and may limit management's ability to accurately forecast demand for the remainder of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Use of Capital</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primary business objective is funding organic growth acceleration and meeting working capital needs. This includes investments in client service delivery and emerging technology that support revenue growth and enhance operational excellence. Following the completion of the Transaction, our second priority is to pay down debt to be at a net leverage ratio of less than 2.5x over time. As a result of the Transaction and related 2024 Credit Facilities, we have $1,551.5 million of outstanding debt under the 2024 Credit Facilities as of March 31, 2026. In addition, we believe that repurchasing shares of our common stock can be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6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During the three months ended March 31, 2026, we repurchased 0.1 million shares of our common stock for a total cost of $3.5 million under the ROFR Agreement and 1.0 million shares of our common stock in the open market for $25.5 million pursuant to our Share Repurchase Program (defined below). Additionally, to settle statutory employee withholdings related to vesting of stock awards, we repurchased 0.1 million shares of our common stock at a cost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ind w:right="20"/>
        <w:spacing w:after="0" w:line="247" w:lineRule="auto"/>
        <w:rPr>
          <w:sz w:val="20"/>
          <w:szCs w:val="20"/>
          <w:color w:val="auto"/>
        </w:rPr>
      </w:pPr>
      <w:r>
        <w:rPr>
          <w:rFonts w:ascii="Arial" w:cs="Arial" w:eastAsia="Arial" w:hAnsi="Arial"/>
          <w:sz w:val="18"/>
          <w:szCs w:val="18"/>
          <w:color w:val="auto"/>
        </w:rPr>
        <w:t>$2.6 million during the three months ended March 31, 2026. During the three months ended March 31, 2025, we made no share repurchases under the ROFR Agreement or in the open market. To settle statutory employee withholdings related to vesting of stock awards, we repurchased 0.1 million shares at a cost of $7.7 million during the three months ended March 31, 2025. Refer to Note 10, Common Stock, to the accompanying unaudited condensed consolidated financial statements for further details.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11, 2026, the CBIZ Board of Directors authorized the purchase of up to 5.0 million shares of our common stock under our share repurchase program (the “Share Repurchase Program”), which may be suspended or discontinued at any time and expires on March 31, 2027.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("SEC") rules. CBIZ management will determine the timing and amount of the purchases based on its evaluation of market conditions and other factors.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revenue for the three months ended March 31, 2026 and 2025:</w:t>
      </w:r>
    </w:p>
    <w:p>
      <w:pPr>
        <w:spacing w:after="0" w:line="200" w:lineRule="exact"/>
        <w:rPr>
          <w:sz w:val="20"/>
          <w:szCs w:val="20"/>
          <w:color w:val="auto"/>
        </w:rPr>
      </w:pPr>
    </w:p>
    <w:p>
      <w:pPr>
        <w:spacing w:after="0" w:line="305"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28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1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(1)</w:t>
            </w:r>
          </w:p>
        </w:tc>
        <w:tc>
          <w:tcPr>
            <w:tcW w:w="120" w:type="dxa"/>
            <w:vAlign w:val="bottom"/>
          </w:tcPr>
          <w:p>
            <w:pPr>
              <w:spacing w:after="0"/>
              <w:rPr>
                <w:sz w:val="12"/>
                <w:szCs w:val="12"/>
                <w:color w:val="auto"/>
              </w:rPr>
            </w:pPr>
          </w:p>
        </w:tc>
        <w:tc>
          <w:tcPr>
            <w:tcW w:w="128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860" w:type="dxa"/>
            <w:vAlign w:val="bottom"/>
          </w:tcPr>
          <w:p>
            <w:pPr>
              <w:jc w:val="right"/>
              <w:ind w:right="397"/>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37"/>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8"/>
          </w:tcPr>
          <w:p>
            <w:pPr>
              <w:jc w:val="center"/>
              <w:ind w:left="779"/>
              <w:spacing w:after="0"/>
              <w:rPr>
                <w:sz w:val="20"/>
                <w:szCs w:val="20"/>
                <w:color w:val="auto"/>
              </w:rPr>
            </w:pPr>
            <w:r>
              <w:rPr>
                <w:rFonts w:ascii="Arial" w:cs="Arial" w:eastAsia="Arial" w:hAnsi="Arial"/>
                <w:sz w:val="14"/>
                <w:szCs w:val="14"/>
                <w:b w:val="1"/>
                <w:bCs w:val="1"/>
                <w:color w:val="auto"/>
              </w:rPr>
              <w:t>(Amounts in thousands, except percentages)</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740,330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725,038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Benefits and Insurance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108,249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CBIZ</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848,579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820" w:right="100" w:hanging="569"/>
        <w:spacing w:after="0" w:line="237" w:lineRule="auto"/>
        <w:tabs>
          <w:tab w:leader="none" w:pos="81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2026, the National Practice practice group was combined with the Financial Service practice group to better align with internal management and reporting structure. As a result, the Financial Services revenue for the three months ended March 31, 2025 was adjusted to reflect this change.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sponsor a Non-qualified Deferred Compensation Plan (the "deferred compensation plan"), under which a CBIZ employee’s compensation deferral is held in a rabbi trust and invested accordingly as directed by the employee.The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are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w:t>
      </w:r>
    </w:p>
    <w:p>
      <w:pPr>
        <w:spacing w:after="0" w:line="7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Refer to Note 13, Employee Benefits, to the consolidated financial statements contained in our Annual Report on Form 10-K for the year ended December 31, 2025 for further discussion on the Non-qualified Deferred Compensation Plan.</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Losses related to the deferred compensation plan assets for the three months ended March 31, 2026 and 2025 were recorded as follows (in thousands, except percentages):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6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statement line items:</w:t>
            </w: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Corporate general &amp; administrative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right="120"/>
        <w:spacing w:after="0" w:line="287" w:lineRule="auto"/>
        <w:rPr>
          <w:sz w:val="20"/>
          <w:szCs w:val="20"/>
          <w:color w:val="auto"/>
        </w:rPr>
      </w:pPr>
      <w:r>
        <w:rPr>
          <w:rFonts w:ascii="Arial" w:cs="Arial" w:eastAsia="Arial" w:hAnsi="Arial"/>
          <w:sz w:val="18"/>
          <w:szCs w:val="18"/>
          <w:color w:val="auto"/>
        </w:rPr>
        <w:t>Excluding the impact of the above-mentioned income and expenses related to the deferred compensation plan, the operating results for the three months ended March 31, 2026 and 2025 were as follows: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w w:val="97"/>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vMerge w:val="restart"/>
          </w:tcPr>
          <w:p>
            <w:pPr>
              <w:spacing w:after="0"/>
              <w:rPr>
                <w:sz w:val="11"/>
                <w:szCs w:val="11"/>
                <w:color w:val="auto"/>
              </w:rPr>
            </w:pPr>
          </w:p>
        </w:tc>
        <w:tc>
          <w:tcPr>
            <w:tcW w:w="1020" w:type="dxa"/>
            <w:vAlign w:val="bottom"/>
            <w:gridSpan w:val="3"/>
          </w:tcPr>
          <w:p>
            <w:pPr>
              <w:jc w:val="right"/>
              <w:ind w:right="12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1"/>
                <w:szCs w:val="11"/>
                <w:color w:val="auto"/>
              </w:rPr>
            </w:pPr>
          </w:p>
        </w:tc>
        <w:tc>
          <w:tcPr>
            <w:tcW w:w="700" w:type="dxa"/>
            <w:vAlign w:val="bottom"/>
            <w:vMerge w:val="restart"/>
          </w:tcPr>
          <w:p>
            <w:pPr>
              <w:jc w:val="right"/>
              <w:ind w:right="91"/>
              <w:spacing w:after="0"/>
              <w:rPr>
                <w:sz w:val="20"/>
                <w:szCs w:val="20"/>
                <w:color w:val="auto"/>
              </w:rPr>
            </w:pPr>
            <w:r>
              <w:rPr>
                <w:rFonts w:ascii="Arial" w:cs="Arial" w:eastAsia="Arial" w:hAnsi="Arial"/>
                <w:sz w:val="13"/>
                <w:szCs w:val="13"/>
                <w:b w:val="1"/>
                <w:bCs w:val="1"/>
                <w:color w:val="auto"/>
                <w:w w:val="93"/>
              </w:rPr>
              <w:t>Adjusted</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100" w:type="dxa"/>
            <w:vAlign w:val="bottom"/>
            <w:vMerge w:val="restart"/>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As Reported</w:t>
            </w:r>
          </w:p>
        </w:tc>
        <w:tc>
          <w:tcPr>
            <w:tcW w:w="100" w:type="dxa"/>
            <w:vAlign w:val="bottom"/>
            <w:vMerge w:val="restart"/>
          </w:tcPr>
          <w:p>
            <w:pPr>
              <w:spacing w:after="0"/>
              <w:rPr>
                <w:sz w:val="11"/>
                <w:szCs w:val="11"/>
                <w:color w:val="auto"/>
              </w:rPr>
            </w:pPr>
          </w:p>
        </w:tc>
        <w:tc>
          <w:tcPr>
            <w:tcW w:w="1020" w:type="dxa"/>
            <w:vAlign w:val="bottom"/>
            <w:gridSpan w:val="3"/>
          </w:tcPr>
          <w:p>
            <w:pPr>
              <w:jc w:val="right"/>
              <w:ind w:right="120"/>
              <w:spacing w:after="0" w:line="131" w:lineRule="exact"/>
              <w:rPr>
                <w:sz w:val="20"/>
                <w:szCs w:val="20"/>
                <w:color w:val="auto"/>
              </w:rPr>
            </w:pPr>
            <w:r>
              <w:rPr>
                <w:rFonts w:ascii="Arial" w:cs="Arial" w:eastAsia="Arial" w:hAnsi="Arial"/>
                <w:sz w:val="13"/>
                <w:szCs w:val="13"/>
                <w:b w:val="1"/>
                <w:bCs w:val="1"/>
                <w:color w:val="auto"/>
                <w:w w:val="97"/>
              </w:rPr>
              <w:t>Compensation</w:t>
            </w:r>
          </w:p>
        </w:tc>
        <w:tc>
          <w:tcPr>
            <w:tcW w:w="160" w:type="dxa"/>
            <w:vAlign w:val="bottom"/>
          </w:tcPr>
          <w:p>
            <w:pPr>
              <w:spacing w:after="0"/>
              <w:rPr>
                <w:sz w:val="11"/>
                <w:szCs w:val="11"/>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w w:val="93"/>
              </w:rPr>
              <w:t>Adjusted</w:t>
            </w:r>
          </w:p>
        </w:tc>
        <w:tc>
          <w:tcPr>
            <w:tcW w:w="80" w:type="dxa"/>
            <w:vAlign w:val="bottom"/>
            <w:vMerge w:val="restart"/>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Plan</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Plan</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226,017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228,102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225,670</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196,449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193,061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22.8 %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197,481</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585</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95"/>
        </w:trPr>
        <w:tc>
          <w:tcPr>
            <w:tcW w:w="23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840" w:type="dxa"/>
            <w:vAlign w:val="bottom"/>
          </w:tcPr>
          <w:p>
            <w:pPr>
              <w:jc w:val="right"/>
              <w:spacing w:after="0"/>
              <w:rPr>
                <w:sz w:val="20"/>
                <w:szCs w:val="20"/>
                <w:color w:val="auto"/>
              </w:rPr>
            </w:pPr>
            <w:r>
              <w:rPr>
                <w:rFonts w:ascii="Arial" w:cs="Arial" w:eastAsia="Arial" w:hAnsi="Arial"/>
                <w:sz w:val="14"/>
                <w:szCs w:val="14"/>
                <w:color w:val="auto"/>
              </w:rPr>
              <w:t>226,472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226,472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26.7 %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172,910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172,910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operating expenses for the three months ended March 31, 2026 and 2025: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515"/>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180" w:type="dxa"/>
            <w:vAlign w:val="bottom"/>
          </w:tcPr>
          <w:p>
            <w:pPr>
              <w:jc w:val="right"/>
              <w:ind w:right="53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80" w:type="dxa"/>
            <w:vAlign w:val="bottom"/>
            <w:gridSpan w:val="8"/>
          </w:tcPr>
          <w:p>
            <w:pPr>
              <w:jc w:val="center"/>
              <w:ind w:left="774"/>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Financial Services</w:t>
            </w:r>
          </w:p>
        </w:tc>
        <w:tc>
          <w:tcPr>
            <w:tcW w:w="3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530,770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520,758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10,012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Benefits and Insurance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85,234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2,762</w:t>
            </w: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622,562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609,912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12,650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 % of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rPr>
              <w:t>625,631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612,344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13,287</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3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73.7 %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73.1 %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20" w:type="dxa"/>
            <w:vAlign w:val="bottom"/>
          </w:tcPr>
          <w:p>
            <w:pPr>
              <w:ind w:left="180"/>
              <w:spacing w:after="0"/>
              <w:rPr>
                <w:sz w:val="20"/>
                <w:szCs w:val="20"/>
                <w:color w:val="auto"/>
              </w:rPr>
            </w:pPr>
            <w:r>
              <w:rPr>
                <w:rFonts w:ascii="Arial" w:cs="Arial" w:eastAsia="Arial" w:hAnsi="Arial"/>
                <w:sz w:val="18"/>
                <w:szCs w:val="18"/>
                <w:color w:val="auto"/>
              </w:rPr>
              <w:t>compensation % of revenue</w:t>
            </w:r>
          </w:p>
        </w:tc>
        <w:tc>
          <w:tcPr>
            <w:tcW w:w="3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20" w:right="360" w:hanging="569"/>
        <w:spacing w:after="0" w:line="237" w:lineRule="auto"/>
        <w:tabs>
          <w:tab w:leader="none" w:pos="81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2026, the National Practice practice group was combined with the Financial Service practice group to better align with internal management and reporting structure. As a result, the Financial Services operating expenses for the three months ended March 31, 2025 was adjusted to reflect this change.</w:t>
      </w:r>
    </w:p>
    <w:p>
      <w:pPr>
        <w:spacing w:after="0" w:line="8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Three months ended March 31, 2026 compared to March 31, 2025</w:t>
      </w:r>
      <w:r>
        <w:rPr>
          <w:rFonts w:ascii="Arial" w:cs="Arial" w:eastAsia="Arial" w:hAnsi="Arial"/>
          <w:sz w:val="18"/>
          <w:szCs w:val="18"/>
          <w:color w:val="auto"/>
        </w:rPr>
        <w:t>. Total operating expenses for the three months ended March 31,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$12.7 million, or 2.1%, to $622.6 million as compared to $609.9 million in the same period in 2025. The deferred compensation plan decreased operating expenses by $3.1 million for the three months ended March 31, 2026 and by $2.4 million during the same period in 2025. Excluding the impact of deferred compensation, which was recorded in "Corporate and Other" for segment reporting purposes, operating expenses would have been $625.6 million and $612.3 million, or 73.7% and 73.1% of revenue, for the three months ended March 31, 2026 and 2025, respectively. In addition, operating expense for the three months ended March 31, 2026 and 2025, included approximately $20.7 million and $9.0 million, respectively, of integration costs associated with the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operating expenses relate to personnel costs, which include (i) salaries and benefits, (ii) commissions paid to producers,</w:t>
      </w:r>
    </w:p>
    <w:p>
      <w:pPr>
        <w:spacing w:after="0" w:line="27" w:lineRule="exact"/>
        <w:rPr>
          <w:sz w:val="20"/>
          <w:szCs w:val="20"/>
          <w:color w:val="auto"/>
        </w:rPr>
      </w:pPr>
    </w:p>
    <w:p>
      <w:pPr>
        <w:ind w:right="40" w:firstLine="8"/>
        <w:spacing w:after="0" w:line="254" w:lineRule="auto"/>
        <w:tabs>
          <w:tab w:leader="none" w:pos="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compensation, and (iv) stock-based compensation. Excluding the impact of deferred compensation, which was recorded in "Corporate and Other" for segment reporting purposes, operating expenses increased by approximately $13.3 million during the three months ended March 31, 2026 as compared to the same period in 2025, driven by $4.6 million higher facility costs, $2.7 million higher technology costs, $2.5 million higher direct costs, $1.8 million higher personnel costs, $1.1 million higher travel and entertainment costs, and $0.6 million higher professional service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Corporate General &amp; Administrative (“G&amp;A”) Expenses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2"/>
                <w:szCs w:val="12"/>
                <w:color w:val="auto"/>
              </w:rPr>
            </w:pPr>
          </w:p>
        </w:tc>
        <w:tc>
          <w:tcPr>
            <w:tcW w:w="1340" w:type="dxa"/>
            <w:vAlign w:val="bottom"/>
          </w:tcPr>
          <w:p>
            <w:pPr>
              <w:jc w:val="right"/>
              <w:ind w:right="83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559"/>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6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29,568</w:t>
            </w:r>
          </w:p>
        </w:tc>
        <w:tc>
          <w:tcPr>
            <w:tcW w:w="120" w:type="dxa"/>
            <w:vAlign w:val="bottom"/>
            <w:shd w:val="clear" w:color="auto" w:fill="CCEEFF"/>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28,070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1,498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3.3 %</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29,887</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28,189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1,698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G&amp;A expenses excluding deferred compensation %</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00"/>
              <w:spacing w:after="0"/>
              <w:rPr>
                <w:sz w:val="20"/>
                <w:szCs w:val="20"/>
                <w:color w:val="auto"/>
              </w:rPr>
            </w:pPr>
            <w:r>
              <w:rPr>
                <w:rFonts w:ascii="Arial" w:cs="Arial" w:eastAsia="Arial" w:hAnsi="Arial"/>
                <w:sz w:val="18"/>
                <w:szCs w:val="18"/>
                <w:color w:val="auto"/>
              </w:rPr>
              <w:t>of revenue</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months ended March 31, 2026 compared to March 31, 2025. </w:t>
      </w:r>
      <w:r>
        <w:rPr>
          <w:rFonts w:ascii="Arial" w:cs="Arial" w:eastAsia="Arial" w:hAnsi="Arial"/>
          <w:sz w:val="18"/>
          <w:szCs w:val="18"/>
          <w:color w:val="auto"/>
        </w:rPr>
        <w:t>The deferred compensation plan decreased G&amp;A expenses by</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$0.3 million for the three months ended March 31, 2026, and by $0.1 million during the same period in 2025. G&amp;A expenses, excluding the impact of the deferred compensation plan, would have been $29.9 million, or 3.5% of revenue, for the three months ended March 31, 2026, compared to $28.2 million, or 3.4% of revenue, for the same period in 2025, an increase of $1.7 million. The increase in G&amp;A expenses was primarily due to approximately $1.2 million higher technology costs, $0.4 million higher facility costs, and $0.1 million higher other discretionary spending to support business growth. The G&amp;A expenses for the three months ended March 31, 2026 and 2025, included approximately $3.1 million and $6.7 million, respectively, of integration costs primarily associated with the Transaction.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536"/>
              <w:spacing w:after="0" w:line="147"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40" w:type="dxa"/>
            <w:vAlign w:val="bottom"/>
          </w:tcPr>
          <w:p>
            <w:pPr>
              <w:jc w:val="right"/>
              <w:ind w:right="57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Gain from acquisition related adjustment,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57,955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10"/>
                <w:szCs w:val="10"/>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104.3 %</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57,145</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right="40" w:hanging="328"/>
        <w:spacing w:after="0" w:line="255"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 net includes a net loss of $3.4 million during the three months ended March 31, 2026, compared to a net loss of $2.6 million for the same period in 2025,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expense, net for the three months ended March 31, 2026 and 2025, is expense of $0.2 million and $0.5 million, respectively, related to net changes in the fair value of contingent consideration related to prior acquisitions.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i w:val="1"/>
          <w:iCs w:val="1"/>
          <w:color w:val="auto"/>
        </w:rPr>
        <w:t xml:space="preserve">Three months ended March 31, 2026 compared with March 31, 2025. </w:t>
      </w:r>
      <w:r>
        <w:rPr>
          <w:rFonts w:ascii="Arial" w:cs="Arial" w:eastAsia="Arial" w:hAnsi="Arial"/>
          <w:sz w:val="18"/>
          <w:szCs w:val="18"/>
          <w:color w:val="auto"/>
        </w:rPr>
        <w:t>During the three months ended March 31, 2026, our average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and interest rate were $ 1,466.6 million and 6.11%, respectively, compared to $1,443.4 million and 6.57%, respectively, for the same period in 2025. The decrease in interest expense for the three months ended March 31, 2026 as compared to the same period in 2025 was $1.2 million. This was primarily driven by the lower interest rates.</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indebtedness is further discussed in Note 5, Debt and Financing Arrangements, to the accompanying unaudited condensed consolidated financial statements.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Gain from acquisition related adjustment, net</w:t>
      </w:r>
    </w:p>
    <w:p>
      <w:pPr>
        <w:spacing w:after="0" w:line="14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 xml:space="preserve">Three months ended March 31, 2026 compared with March 31, 2025. </w:t>
      </w:r>
      <w:r>
        <w:rPr>
          <w:rFonts w:ascii="Arial" w:cs="Arial" w:eastAsia="Arial" w:hAnsi="Arial"/>
          <w:sz w:val="18"/>
          <w:szCs w:val="18"/>
          <w:color w:val="auto"/>
        </w:rPr>
        <w:t>During the three months ended March 31, 2026, our gain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related adjustment, net was $58.0 million compared to no gain for the same period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3" w:name="page24"/>
    <w:bookmarkEnd w:id="23"/>
    <w:p>
      <w:pPr>
        <w:ind w:right="100"/>
        <w:spacing w:after="0" w:line="262" w:lineRule="auto"/>
        <w:rPr>
          <w:sz w:val="20"/>
          <w:szCs w:val="20"/>
          <w:color w:val="auto"/>
        </w:rPr>
      </w:pPr>
      <w:r>
        <w:rPr>
          <w:rFonts w:ascii="Arial" w:cs="Arial" w:eastAsia="Arial" w:hAnsi="Arial"/>
          <w:sz w:val="18"/>
          <w:szCs w:val="18"/>
          <w:color w:val="auto"/>
        </w:rPr>
        <w:t>in 2025. As stated in Note 3, Business Combinations, to the accompanying unaudited condensed consolidated financial statements, the Company recorded a $57.2 million working capital adjustment and related purchase price settlement, which was recognized as a gain within acquisition related adjustments in Total other income (expense), net in the consolidated statements of operations. Additionally, the Company also recorded another adjustment related to acquisitions of $0.8 million within gains from acquisition related adjustments.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Three months ended March 31, 2026 compared with March 31, 2025. </w:t>
      </w:r>
      <w:r>
        <w:rPr>
          <w:rFonts w:ascii="Arial" w:cs="Arial" w:eastAsia="Arial" w:hAnsi="Arial"/>
          <w:sz w:val="18"/>
          <w:szCs w:val="18"/>
          <w:color w:val="auto"/>
        </w:rPr>
        <w:t>For the three months ended March 31, 2026, other expense,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a net loss of $ 3.4 million associated with the non-qualified deferred compensation plan. For the same period in 2025, other expense, net includes a net loss of $2.6 million associated with the non-qualified deferred compensation plan. Excluding the impact of the deferred compensation plan, the other expense, net for the three months ended March 31, 2026 would have been a loss of $0.6 million, as compared to a gain of $0.6 million during the same period in 2025. The change was primarily due to a $1.1 million higher loss on sale of assets and a $0.1 million increase of other miscellaneous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2"/>
                <w:szCs w:val="12"/>
                <w:color w:val="auto"/>
              </w:rPr>
            </w:pPr>
          </w:p>
        </w:tc>
        <w:tc>
          <w:tcPr>
            <w:tcW w:w="126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2"/>
                <w:szCs w:val="12"/>
                <w:color w:val="auto"/>
              </w:rPr>
            </w:pPr>
          </w:p>
        </w:tc>
        <w:tc>
          <w:tcPr>
            <w:tcW w:w="1360" w:type="dxa"/>
            <w:vAlign w:val="bottom"/>
          </w:tcPr>
          <w:p>
            <w:pPr>
              <w:jc w:val="right"/>
              <w:ind w:right="842"/>
              <w:spacing w:after="0" w:line="143"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562"/>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right"/>
              <w:ind w:right="1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64,860</w:t>
            </w: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50,137</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14,723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440" w:type="dxa"/>
            <w:vAlign w:val="bottom"/>
            <w:gridSpan w:val="2"/>
          </w:tcPr>
          <w:p>
            <w:pPr>
              <w:jc w:val="right"/>
              <w:ind w:right="279"/>
              <w:spacing w:after="0"/>
              <w:rPr>
                <w:sz w:val="20"/>
                <w:szCs w:val="20"/>
                <w:color w:val="auto"/>
              </w:rPr>
            </w:pPr>
            <w:r>
              <w:rPr>
                <w:rFonts w:ascii="Arial" w:cs="Arial" w:eastAsia="Arial" w:hAnsi="Arial"/>
                <w:sz w:val="18"/>
                <w:szCs w:val="18"/>
                <w:color w:val="auto"/>
              </w:rPr>
              <w:t>28.6 %</w:t>
            </w:r>
          </w:p>
        </w:tc>
        <w:tc>
          <w:tcPr>
            <w:tcW w:w="1260" w:type="dxa"/>
            <w:vAlign w:val="bottom"/>
          </w:tcPr>
          <w:p>
            <w:pPr>
              <w:jc w:val="right"/>
              <w:spacing w:after="0"/>
              <w:rPr>
                <w:sz w:val="20"/>
                <w:szCs w:val="20"/>
                <w:color w:val="auto"/>
              </w:rPr>
            </w:pPr>
            <w:r>
              <w:rPr>
                <w:rFonts w:ascii="Arial" w:cs="Arial" w:eastAsia="Arial" w:hAnsi="Arial"/>
                <w:sz w:val="18"/>
                <w:szCs w:val="18"/>
                <w:color w:val="auto"/>
              </w:rPr>
              <w:t>29.0 %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Three months ended March 31, 2026 compared with March 31, 2025. </w:t>
      </w:r>
      <w:r>
        <w:rPr>
          <w:rFonts w:ascii="Arial" w:cs="Arial" w:eastAsia="Arial" w:hAnsi="Arial"/>
          <w:sz w:val="18"/>
          <w:szCs w:val="18"/>
          <w:color w:val="auto"/>
        </w:rPr>
        <w:t>The effective tax rate for the three months ended March 31,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28.6%, compared to an effective tax rate of 29.0% for the same period in 2025. The decrease in the effective tax rate is primarily due to a lower effective state tax rate in the current period compared to the same period in 2025 reduced by tax expense in the current period related to stock-based compensation. The increase in income tax expense of $14.7 million for the three months ended March 31, 2026, when compared to the same period in 2025, was primarily driven by the increase in pre-tax income in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Practice Groups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2026, the National Practice practice group was combined with the Financial Service practice group to better align with internal management and reporting structure. As a result of these changes, we now operate with two reportable segments: Financial Services and Benefits and Insurances Services. Financial results of the Financial Service Practice Group for the three months ended March 31, 2025 were adjusted to reflect the change in reportable segments. A description of these groups' operating results and factors affecting their businesses is provided below.</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Same-unit revenue represents total revenue adjusted to reflect comparable periods of activity for acquisitions and divestitures. Divested operations represent operations that did not meet the criteria for treatment as discontinued operations.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514"/>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right"/>
              <w:ind w:right="554"/>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80" w:type="dxa"/>
            <w:vAlign w:val="bottom"/>
            <w:gridSpan w:val="8"/>
          </w:tcPr>
          <w:p>
            <w:pPr>
              <w:ind w:left="8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Same-unit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738,195</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725,038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13,157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businesses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740,330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725,038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15,292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530,770</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520,758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204,280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208,687</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204,465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to March 31,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Services practice group revenue for the three months ended March 31, 2026 grew by 2.1% to $ 740.3 million from $725.0 million during the same period in 2025. Same-unit revenue grew by $ 13.2 million, or 1.8%, primarily driven by those units that provide advisory services, which increased by approximately $7.3 million, the units that provide traditional accounting and tax-related services, which increased $ 5.2 million, the units that provide government healthcare compliance business consulting, which increased by approximately $0.5 million, and the units that provide technology services, which increased $0.2 million.</w:t>
      </w:r>
    </w:p>
    <w:p>
      <w:pPr>
        <w:spacing w:after="0" w:line="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$219.4 million and $234.3 million for the three months ended March 31, 2026 and 2025,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expenses for the three months ended March 31, 2026 increased by $10.0 million, or 1.9%, as compared to the same period in 2025. Compared to the same period in 2025, facility costs, subscription costs, travel and entertainment costs, technology costs, direct costs, and other discretionary spending to support business growth increased by approximately $4.7 million, $1.9 million, $1.2 million, $1.1 million, $0.9 million, and $0.2 million, respectively. Operating expenses as a percentage of revenue decreased slightly to 71.7% for the three months ended March 31, 2026 from 71.8% of revenue for the same period in 2025.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Insurance Services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515"/>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right"/>
              <w:ind w:right="555"/>
              <w:spacing w:after="0" w:line="143"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0" w:type="dxa"/>
            <w:vAlign w:val="bottom"/>
          </w:tcPr>
          <w:p>
            <w:pPr>
              <w:spacing w:after="0"/>
              <w:rPr>
                <w:sz w:val="20"/>
                <w:szCs w:val="20"/>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108,249</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112,976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85,234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85,358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23,390</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27,945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43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21.3 %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Three months ended March 31, 2026 compared to March 31, 2025.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Benefits and Insurance Services practice group revenue decreased by $4.7 million, or 4.2%, to $108.2 million during the three months ended March 31, 2026 compared to $113.0 million for the same period in 2025. The decrease was primarily driven by a $1.4 million decrease from human capital related services, a $1.4 million decrease in life insurance services, a $1.3 million decrease in property and casualty services revenue, and a $0.9 million decrease in retirement benefit services lines revenue. These decreases were partially offset by a $0.3 million increase in Employee Benefit Services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Operating expenses for the three months ended March 31, 2026 decreased by $0.1 million, or 0.1%, when compared to the same period in 2025. The decrease was not material, and operating expenses within the Benefits and Insurance practice group remained generally consistent period over period. Operating expenses as a percentage of revenue increased to 78.7% for the quarter ended March 31, 2026 from 75.6% of revenue for the same period in 2025.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4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535"/>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7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to March 31, 2025.</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operating expenses increased by $2.8 million during the three months ended March 31, 2026, as compared to the same period in 2025. The non-qualified deferred compensation plan decreased operating expenses by $3.1 million for the three months ended March 31, 2026 and by $2.4 million during the same period in 2025. Excluding the impact of non-qualified deferred compensation plan, operating expenses increased by $3.4 million during the three months ended March 31, 2026, as compared to the same period in 2025. The increase was primarily driven by $1.4 million higher technology costs, $1.2 million higher professional service costs, $0.3 million higher depreciation costs, $0.3 million higher travel and entertainment costs, $0.1 million higher marketing costs, and $0.1 million higher facility costs.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corporate G&amp;A expenses increased by $1.5 million, or 5.3%, during the three months ended March 31, 2026, as compared to the same period in 2025. The non-qualified deferred compensation plan decreased corporate G&amp;A expenses by $0.3 million for the three months ended March 31, 2026 and by $0.1 million during the same period in 2025. Excluding the impact of the non-qualified deferred compensation plan, corporate G&amp;A expense increased by approximately $1.7 million during the three months ended March 31, 2026, as compared to the same period in 2025. The increase in corporate G&amp;A expenses was primarily due to approximately $1.2 million higher technology costs, $0.4 million higher facility costs, and $0.1 million higher other discretionary spending to support business growth. The corporate G&amp;A expenses for the three months ended March 31, 2026 and 2025, included approximately $3.1 million and $6.7 million, respectively, of integration costs primarily associated with the Transaction.</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Total other income (expense), net increased by $58.2 million during the three months ended March 31, 2026, as compared to the same period in 2025. For the three months ended March 31, 2026, total other income (expense), net included a net loss of $3.4 million associated with the non-qualified deferred compensation plan. For the same period in 2025, total other income (expense), net included a net loss of $2.6 million associated with the non-qualified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t>deferred compensation plan. Excluding the impact of the non-qualified deferred compensation plan, total other income (expense), net increased by $ 59.0 million for the three months ended March 31, 2026 as compared to the same period in 2025. The increase was primarily due to a $57.2 million gain related to the final working capital settlement and other acquisition related adjustments of $0.8 million, as well as $1.0 million lower interest expense. See Note 3, Business Combinations, to the accompanying unaudited condensed consolidated financial statements in the three months ended March 31, 2026 for further detail.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historically experience a use of cash to fund working capital requirements during the first quarter of each fiscal year. This is primarily due to the seasonal nature of the Financial Services practice group's accounting and tax services,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99 days and 96 days at March 31, 2026 and 2025, respectively. DSO at December 31, 2025 was 71 days.</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presents selected cash flow information. For additional details, refer to the accompanying Condensed Consolidated Statements of Cash Flows.</w:t>
      </w:r>
    </w:p>
    <w:p>
      <w:pPr>
        <w:spacing w:after="0" w:line="8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r>
      <w:tr>
        <w:trPr>
          <w:trHeight w:val="196"/>
        </w:trPr>
        <w:tc>
          <w:tcPr>
            <w:tcW w:w="6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(Amounts in thousands)</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(88,266)</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(4,961)</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55,363</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(37,864)</w:t>
            </w:r>
          </w:p>
        </w:tc>
      </w:tr>
      <w:tr>
        <w:trPr>
          <w:trHeight w:val="20"/>
        </w:trPr>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 </w:t>
      </w:r>
      <w:r>
        <w:rPr>
          <w:rFonts w:ascii="Arial" w:cs="Arial" w:eastAsia="Arial" w:hAnsi="Arial"/>
          <w:sz w:val="18"/>
          <w:szCs w:val="18"/>
          <w:color w:val="auto"/>
        </w:rPr>
        <w:t>Cash used in operating activities was $25.5 million during the three months ended March 31, 2026,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working capital use of $236.9 million, which was offset by net income of $161.6 million and certain non-cash items, such as depreciation and amortization expense of $23.8 million, deferred income tax of $ 14.7 million, stock-based compensation expense of $7.5 million, bad debt expense of $1.4 million, amortization of deferred financing fees of $1.3 million, and other, net and an adjustment to contingent earnout liability of $1.0 million. Cash used in operating activities was $88.3 million during the three months ended March 31, 2025, primarily consisted of working capital use of $247.7 million, which was offset by net income of $122.8 million and certain non-cash items, such as depreciation and amortization expense of $ 24.8 million, deferred income tax of $ 4.3 million, stock-based compensation expense of $5.6 million, amortization of deferred financing fees of $1.3 million, and an adjustment to contingent earnout liability of $0.5 million. In addition, as discussed in Note 3, Business Combinations, we received $46.5 million cash as a result of the final working capital adjustment associated with the Transaction during the first quarter of 2026.</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 </w:t>
      </w:r>
      <w:r>
        <w:rPr>
          <w:rFonts w:ascii="Arial" w:cs="Arial" w:eastAsia="Arial" w:hAnsi="Arial"/>
          <w:sz w:val="18"/>
          <w:szCs w:val="18"/>
          <w:color w:val="auto"/>
        </w:rPr>
        <w:t>Cash used in investing activities during the three months ended March 31, 2026 was $2.9 million and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$3.5 million used for a business acquisition, $3.0 million in capital expenditures and $0.5 million in net client fund investment activity, partially offset by $3.2 million of other investing activities primarily related to $3.5 million received related to the final working capital adjustment payments under certain notes receivable and $0.3 million from additional earnout proceeds received from previous sales of businesses. The net cash flow related to funds held for clients and other activities was immaterial. Cash used in investing activities during the three months ended March 31, 2025 was $5.0 million and consisted primarily of $5.2 million in capital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7" w:name="page28"/>
    <w:bookmarkEnd w:id="27"/>
    <w:p>
      <w:pPr>
        <w:ind w:right="320"/>
        <w:spacing w:after="0" w:line="287" w:lineRule="auto"/>
        <w:rPr>
          <w:sz w:val="20"/>
          <w:szCs w:val="20"/>
          <w:color w:val="auto"/>
        </w:rPr>
      </w:pPr>
      <w:r>
        <w:rPr>
          <w:rFonts w:ascii="Arial" w:cs="Arial" w:eastAsia="Arial" w:hAnsi="Arial"/>
          <w:sz w:val="18"/>
          <w:szCs w:val="18"/>
          <w:color w:val="auto"/>
        </w:rPr>
        <w:t>expenditures, and $0.1 million in other investing activities primarily related to acquisition related working capital adjustment payments and notes receivable. The net cash flow related to funds held for clients and other activities was immaterial.</w:t>
      </w:r>
    </w:p>
    <w:p>
      <w:pPr>
        <w:spacing w:after="0" w:line="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2025.</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 </w:t>
      </w:r>
      <w:r>
        <w:rPr>
          <w:rFonts w:ascii="Arial" w:cs="Arial" w:eastAsia="Arial" w:hAnsi="Arial"/>
          <w:sz w:val="18"/>
          <w:szCs w:val="18"/>
          <w:color w:val="auto"/>
        </w:rPr>
        <w:t>Cash used in financing activities during the three months ended March 31, 2026 was $12.6 million and consisted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$29.0 million of cash used in share repurchases, of which $3.5 million was used under the ROFR Agreement and $25.5 million were open market purchases. Additionally, $53.8 million was paid to reduce client fund obligations and $ 6.3 million was paid as contingent consideration payments related to prior acquisitions. The use of cash was partially offset by $79.1 million in net proceeds from borrowings under the 2024 Credit Facilities. Cash provided by financing activities during the three months ended March 31, 2025 was $55.4 million and primarily consisted of $127.5 million in net proceeds from borrowings under the 2024 Credit Facilities, partially offset by $7.6 million of cash used in share repurchases for tax withholding purposes, a $35.1 million net decrease in client fund obligations and $29.5 million in contingent consideration payments related to prior acquisitions.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Credit Facilities - </w:t>
      </w:r>
      <w:r>
        <w:rPr>
          <w:rFonts w:ascii="Arial" w:cs="Arial" w:eastAsia="Arial" w:hAnsi="Arial"/>
          <w:sz w:val="18"/>
          <w:szCs w:val="18"/>
          <w:color w:val="auto"/>
        </w:rPr>
        <w:t>At March 31, 2026, we had $1,551.5 million outstanding under the 2024 Credit Facilities as well as $3.2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letters of credit. Available funds under the 2024 Credit Facilities, based on the terms of the commitment, were approximately $333.4 million at March 31, 2026. The weighted average interest rate under the 2024 Credit Facilities was 6.11% during the three months ended March 31, 2026, compared to 6.57% for the same period in 2025. The 2024 Credit Facilities allows for the allocation of funds for future strategic initiatives, including acquisitions and the repurchase of our common stock, subject to the terms and conditions of the 2024 Credit Facilities.</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Debt Covenant Compliance - </w:t>
      </w:r>
      <w:r>
        <w:rPr>
          <w:rFonts w:ascii="Arial" w:cs="Arial" w:eastAsia="Arial" w:hAnsi="Arial"/>
          <w:sz w:val="18"/>
          <w:szCs w:val="18"/>
          <w:color w:val="auto"/>
        </w:rPr>
        <w:t>Under the 2024 Credit Facilities, we are required to meet certain financial covenants with respect to (i)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(ii) minimum interest charge coverage ratio. We were in compliance with our financial covenants as of March 31, 2026. Our ability to service our debt and to fund future strategic initiatives will depend upon our ability to generate cash in the future. For further discussion regarding our 2024 Credit Facilities, refer to Note 5, Debt and Financing Arrangements, to the accompanying unaudited condensed consolidated financial statements.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Use of Capital - </w:t>
      </w:r>
      <w:r>
        <w:rPr>
          <w:rFonts w:ascii="Arial" w:cs="Arial" w:eastAsia="Arial" w:hAnsi="Arial"/>
          <w:sz w:val="18"/>
          <w:szCs w:val="18"/>
          <w:color w:val="auto"/>
        </w:rPr>
        <w:t>Our overall business objective continues to focus on funding organic growth acceleration and meeting working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This includes investments in client service delivery and emerging technology that supports revenue growth and improves operational excellence. Following the completion of the Transaction, our second priority is to pay down debt to have a net leverage ratio of less than 2.5x over time. As a result of the Transaction and related 2024 Credit Facilities, we have $1,551.5 million of outstanding debt as of March 31, 2026.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completed one acquisition. During the three months ended March 31, 2026, we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repurchased 0.1 million shares of our common stock at a cost of $3.5 million under the ROFR Agreement and 1.0 million shares of our common stock in the open market for $25.5 million. Additionally, to settle statutory employee withholdings related to vesting of stock awards,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repurchased 0.1 million shares of our common stock at a cost of $ 2.6 million during the three months ended March 31, 2026. During the three months ended March 31, 2025, we made no share repurchases under the ROFR Agreement or in the open market. To settle statutory employee withholdings related to vesting of stock awards, we repurchased 0.1 million shares at a cost of $7.7 million during the three months ended March 31, 2025.</w:t>
      </w:r>
    </w:p>
    <w:p>
      <w:pPr>
        <w:spacing w:after="0" w:line="19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i w:val="1"/>
          <w:iCs w:val="1"/>
          <w:color w:val="auto"/>
        </w:rPr>
        <w:t xml:space="preserve">Cash Requirements - </w:t>
      </w:r>
      <w:r>
        <w:rPr>
          <w:rFonts w:ascii="Arial" w:cs="Arial" w:eastAsia="Arial" w:hAnsi="Arial"/>
          <w:sz w:val="18"/>
          <w:szCs w:val="18"/>
          <w:color w:val="auto"/>
        </w:rPr>
        <w:t>Cash requirements for the remainder of 2026 and beyond will include the repayment of outstanding debt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share repurchases through both our ROFR Agreement and open market purchases, funding seasonal working capital requirements, making contingent purchase price payments for previous acquisitions, income tax payments, and capital expenditures. We believe that cash provided by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660"/>
        <w:spacing w:after="0" w:line="287" w:lineRule="auto"/>
        <w:rPr>
          <w:sz w:val="20"/>
          <w:szCs w:val="20"/>
          <w:color w:val="auto"/>
        </w:rPr>
      </w:pPr>
      <w:r>
        <w:rPr>
          <w:rFonts w:ascii="Arial" w:cs="Arial" w:eastAsia="Arial" w:hAnsi="Arial"/>
          <w:sz w:val="18"/>
          <w:szCs w:val="18"/>
          <w:color w:val="auto"/>
        </w:rPr>
        <w:t>as well as available funds under our 2024 Credit Facilities, will be sufficient to meet cash requirements for the remainder of 2026 and beyond.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2025),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provide letters of credit to landlords (lessors) of our leased premises in lieu of cash security deposits, which totaled $3.2 million and $3.2 million at March 31, 2026 and December 31, 2025, respectively. In addition, we provide license bonds to various state agencies to meet certain licensing requirements. The amount of license bonds outstanding was $2.2 million and $2.1 million at March 31, 2026 and December 31, 2025, respectively.</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March 31, 2026, we are not aware of any material obligations arising under indemnification agreements that would require 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2025.</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disclosed in Note 13, Goodwill, we performed a quantitative assessment of the goodwill associated with our reporting units. Based on the results of the quantitative assessment, we concluded that the estimated fair values of our reporting units immediately after the change in reporting units were in excess of their respective carrying values, and as such, goodwill is not impaired. We have experienced a decline in the Company's market capitalization. This decline, along with increases in discount rates used in the impairment analysis, reduced the excess of fair value over carrying value of our Financial Accounting Services reporting unit within the Financial Services practice group, which exceeded its carrying value by approximately 7.4%, and of our Property and Casualty reporting unit within our Benefits and Insurance Services practice group, which exceeded its carrying value by approximately 14.5%. As of March 31, 2026, the carrying value of Financial Accounting Services' goodwill was $1,679.9 million and the carrying value of Property and Casualty's goodwill was $78.8 million.</w:t>
      </w:r>
    </w:p>
    <w:p>
      <w:pPr>
        <w:spacing w:after="0" w:line="7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It is possible, depending upon a number of factors that are not determinable at this time or within our control, that the fair values of one or more of our reporting units could decrease in the future and result in an impairment to goodwill, including failure to achieve the anticipated benefits of the Transaction, significant negative industry 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9" w:name="page30"/>
    <w:bookmarkEnd w:id="29"/>
    <w:p>
      <w:pPr>
        <w:ind w:right="40"/>
        <w:spacing w:after="0" w:line="259" w:lineRule="auto"/>
        <w:rPr>
          <w:sz w:val="20"/>
          <w:szCs w:val="20"/>
          <w:color w:val="auto"/>
        </w:rPr>
      </w:pPr>
      <w:r>
        <w:rPr>
          <w:rFonts w:ascii="Arial" w:cs="Arial" w:eastAsia="Arial" w:hAnsi="Arial"/>
          <w:sz w:val="18"/>
          <w:szCs w:val="18"/>
          <w:color w:val="auto"/>
        </w:rPr>
        <w:t>economic trends, disruptions to our business, adverse changes resulting from new governmental regulations, negative impact on client list due to loss of customers, impact on client list due to declining revenue of existing customers, or divestitures. Additionally, further declines in our market capitalization may trigger the need for future impairment tests where the conclusions may differ and could result in the recognition of an impairment charge. Further, any significant adverse change in our near or long-term projections or macroeconomic conditions could result in future impairment charges, which could be material.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Refer to Note 2, New Accounting Pronouncements, to the accompanying unaudited condensed consolidated financial statements for a discussion of recently issued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our financial position, business strategy,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“anticipate,” “outlook,” “foreseeable future,” “seek” and words or phrases of similar import in connection with any discussion of future operating or financial performance. In particular, these include statements relating to future actions, future performance or results of current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anticipated services, sales efforts, expenses, and financial results.</w:t>
      </w:r>
    </w:p>
    <w:p>
      <w:pPr>
        <w:spacing w:after="0" w:line="8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 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our business could be adversely affected if the non-attest business assets we acquired, or the attest assets CBIZ CPAs acquired, from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have contractual relationships and the ability of such attest firms to provide attestation services to our clients; our goodwill and other intangible assets could become impaired, which could lead to material non-cash charges against earnings and a material impact on our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parties; we are reliant on information processing systems and any failure or disruptions of these systems could have a material adverse effect on our business, financial condition and results of operations; we could be held liable for errors and omissions; the business services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jc w:val="both"/>
        <w:spacing w:after="0" w:line="238" w:lineRule="auto"/>
        <w:rPr>
          <w:sz w:val="20"/>
          <w:szCs w:val="20"/>
          <w:color w:val="auto"/>
        </w:rPr>
      </w:pPr>
      <w:r>
        <w:rPr>
          <w:rFonts w:ascii="Arial" w:cs="Arial" w:eastAsia="Arial" w:hAnsi="Arial"/>
          <w:sz w:val="18"/>
          <w:szCs w:val="18"/>
          <w:color w:val="auto"/>
        </w:rPr>
        <w:t>stockholders; rapid technological changes could significantly impact our competitive position, client relationships and operating results and our ability to realize the anticipated benefits of the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fluctuations than other companies, which could result in fluctuations in the market price of our common stock; the significant number of shares issuable as the stock consideration in the Transaction may adversely impact our stock price; the future issuance of additional shares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could adversely affect the price of our common stock; there is volatility in our stock price; and the price of our common stock could be adversely impacted if we do not perform to expectations following the Transaction.</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Consequently, no forward-looking statement can be guaranteed. Our actual future results may vary materially. </w:t>
      </w:r>
      <w:r>
        <w:rPr>
          <w:rFonts w:ascii="Arial" w:cs="Arial" w:eastAsia="Arial" w:hAnsi="Arial"/>
          <w:sz w:val="18"/>
          <w:szCs w:val="18"/>
          <w:color w:val="192326"/>
        </w:rPr>
        <w:t>All forward-looking statements</w:t>
      </w:r>
      <w:r>
        <w:rPr>
          <w:rFonts w:ascii="Arial" w:cs="Arial" w:eastAsia="Arial" w:hAnsi="Arial"/>
          <w:sz w:val="18"/>
          <w:szCs w:val="18"/>
          <w:color w:val="auto"/>
        </w:rPr>
        <w:t xml:space="preserve"> </w:t>
      </w:r>
      <w:r>
        <w:rPr>
          <w:rFonts w:ascii="Arial" w:cs="Arial" w:eastAsia="Arial" w:hAnsi="Arial"/>
          <w:sz w:val="18"/>
          <w:szCs w:val="18"/>
          <w:color w:val="192326"/>
        </w:rPr>
        <w:t xml:space="preserve">made in this Quarterly Report on Form 10-Q are made only as of the date hereof, </w:t>
      </w:r>
      <w:r>
        <w:rPr>
          <w:rFonts w:ascii="Arial" w:cs="Arial" w:eastAsia="Arial" w:hAnsi="Arial"/>
          <w:sz w:val="18"/>
          <w:szCs w:val="18"/>
          <w:color w:val="000000"/>
        </w:rPr>
        <w:t>and we undertake no obligation to publicly update any</w:t>
      </w:r>
      <w:r>
        <w:rPr>
          <w:rFonts w:ascii="Arial" w:cs="Arial" w:eastAsia="Arial" w:hAnsi="Arial"/>
          <w:sz w:val="18"/>
          <w:szCs w:val="18"/>
          <w:color w:val="192326"/>
        </w:rPr>
        <w:t xml:space="preserve"> </w:t>
      </w:r>
      <w:r>
        <w:rPr>
          <w:rFonts w:ascii="Arial" w:cs="Arial" w:eastAsia="Arial" w:hAnsi="Arial"/>
          <w:sz w:val="18"/>
          <w:szCs w:val="18"/>
          <w:color w:val="000000"/>
        </w:rPr>
        <w:t>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(“SEC”). Also note that we provide a cautionary discussion of the risks, uncertainties and possibly inaccurate assumptions relevant to our businesses in “Item 1. Business” and “Item 1A. Risk Factors” in our Annual Report on Form 10-K for</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year ended December 31, 2025. These are factors that we think could cause our actual results to differ materially from expected and historical results. Other factors besides those described could also adversely affect our operating or financial performance.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March 31, 2026 was $1,551.5 million, of which $1,051.5 million was subject to interest rate risk. If market rates were to increase or decrease 100 basis points from the levels at March 31, 2026, interest expense would have increased or decreased approximately $10.5 million annually.</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have the following interest rate swaps outstanding (in thousands, except percentages):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March 31, 2026</w:t>
            </w:r>
          </w:p>
        </w:tc>
        <w:tc>
          <w:tcPr>
            <w:tcW w:w="176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Notional</w:t>
            </w: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Fixed Rate</w:t>
            </w:r>
          </w:p>
        </w:tc>
        <w:tc>
          <w:tcPr>
            <w:tcW w:w="2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c>
          <w:tcPr>
            <w:tcW w:w="1860" w:type="dxa"/>
            <w:vAlign w:val="bottom"/>
            <w:gridSpan w:val="2"/>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4.047%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7/14/2026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12/14/2026</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7/14/2027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8/14/2027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4/14/2028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10/14/2028</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3/14/2030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4/14/2030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7/14/2030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7/15/2030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10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260"/>
        <w:spacing w:after="0" w:line="287" w:lineRule="auto"/>
        <w:rPr>
          <w:sz w:val="20"/>
          <w:szCs w:val="20"/>
          <w:color w:val="auto"/>
        </w:rPr>
      </w:pPr>
      <w:r>
        <w:rPr>
          <w:rFonts w:ascii="Arial" w:cs="Arial" w:eastAsia="Arial" w:hAnsi="Arial"/>
          <w:sz w:val="18"/>
          <w:szCs w:val="18"/>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7, Financial Instruments, and Note 8, Fair Value Measurements, to the accompanying unaudited condensed consolidated financial statements for further discussion regarding these investments and the related fair value assessments.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6940" w:firstLine="8"/>
        <w:spacing w:after="0" w:line="397" w:lineRule="auto"/>
        <w:tabs>
          <w:tab w:leader="none" w:pos="27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Controls and Procedures </w:t>
      </w:r>
      <w:r>
        <w:rPr>
          <w:rFonts w:ascii="Arial" w:cs="Arial" w:eastAsia="Arial" w:hAnsi="Arial"/>
          <w:sz w:val="17"/>
          <w:szCs w:val="17"/>
          <w:b w:val="1"/>
          <w:bCs w:val="1"/>
          <w:i w:val="1"/>
          <w:iCs w:val="1"/>
          <w:color w:val="auto"/>
        </w:rPr>
        <w:t>Evaluation of Disclosure Controls and Procedures</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Internal Control over Financial Reporting</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changes to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2000"/>
        <w:spacing w:after="0" w:line="262" w:lineRule="auto"/>
        <w:rPr>
          <w:sz w:val="20"/>
          <w:szCs w:val="20"/>
          <w:color w:val="auto"/>
        </w:rPr>
      </w:pPr>
      <w:r>
        <w:rPr>
          <w:rFonts w:ascii="Arial" w:cs="Arial" w:eastAsia="Arial" w:hAnsi="Arial"/>
          <w:sz w:val="18"/>
          <w:szCs w:val="18"/>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under “Risk Factors” in the Company’s Annual Report on Form 10-K for the year ended December 31, 2025 as filed with the SEC. These risks could materially and adversely affect the business, financial condition results of operations and cash flows of CBIZ. There have been no material changes to the risk factors previously disclosed under "Risk Factors" in the Company's Annual Report on Form 10-K for the year ended December 31, 2025.</w:t>
      </w:r>
    </w:p>
    <w:p>
      <w:pPr>
        <w:spacing w:after="0" w:line="125" w:lineRule="exact"/>
        <w:rPr>
          <w:sz w:val="20"/>
          <w:szCs w:val="20"/>
          <w:color w:val="auto"/>
        </w:rPr>
      </w:pPr>
    </w:p>
    <w:p>
      <w:pPr>
        <w:ind w:right="4080"/>
        <w:spacing w:after="0" w:line="399" w:lineRule="auto"/>
        <w:rPr>
          <w:sz w:val="20"/>
          <w:szCs w:val="20"/>
          <w:color w:val="auto"/>
        </w:rPr>
      </w:pPr>
      <w:r>
        <w:rPr>
          <w:rFonts w:ascii="Arial" w:cs="Arial" w:eastAsia="Arial" w:hAnsi="Arial"/>
          <w:sz w:val="18"/>
          <w:szCs w:val="18"/>
          <w:b w:val="1"/>
          <w:bCs w:val="1"/>
          <w:color w:val="auto"/>
        </w:rPr>
        <w:t>ITEM 2. UNREGISTERED SALES OF EQUITY SECURITIES AND USE OF PROCEEDS (a) Recent sales of unregistered securities</w:t>
      </w:r>
    </w:p>
    <w:p>
      <w:pPr>
        <w:ind w:right="20"/>
        <w:spacing w:after="0" w:line="257" w:lineRule="auto"/>
        <w:rPr>
          <w:sz w:val="20"/>
          <w:szCs w:val="20"/>
          <w:color w:val="auto"/>
        </w:rPr>
      </w:pPr>
      <w:r>
        <w:rPr>
          <w:rFonts w:ascii="Arial" w:cs="Arial" w:eastAsia="Arial" w:hAnsi="Arial"/>
          <w:sz w:val="18"/>
          <w:szCs w:val="18"/>
          <w:color w:val="auto"/>
        </w:rPr>
        <w:t>During the three months ended March 31, 2026, the Company delivered 0.9 million shares of our common stock to the selling shareholders pursuant to the terms of the Transaction. The foregoing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Issuer purchases of equity securities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Over the past twenty years, our Board of Directors authorized has renewed the Company's Share Repurchase Program. On February 11, 2025, the Board of Directors renewed and authorized the Share Repurchase Program, permitting repurchases through March 31, 2026, of up to 5 million shares of our outstanding common stock (i) in the open market, (ii) in privately negotiated transactions, or (iii) under Rule 10b5-1 trading plans. On February 11, 2026, our Board of Directors authorized the continuation of the Share Repurchase Program. It was effective beginning on February 11, 2026, from which the amount of shares of common stock available to be purchased by the Company was reset to 5 million shares, and the Share Repurchase Program expires on March 31, 2027.</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Transaction, in the event that the former partner intends to sell the shares in an open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8"/>
          <w:szCs w:val="18"/>
          <w:color w:val="auto"/>
        </w:rPr>
        <w:t>Shares repurchased under the Share Repurchase Program during the three months ended March 31, 2026 (reported on a trade-date basis) are summarized in the table below (amounts in thousands, except per share data). Average price paid per share includes fees and commissions.</w:t>
      </w:r>
    </w:p>
    <w:p>
      <w:pPr>
        <w:spacing w:after="0" w:line="99"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Issuer Purchases of Equity Securities</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400" w:type="dxa"/>
            <w:vAlign w:val="bottom"/>
          </w:tcPr>
          <w:p>
            <w:pPr>
              <w:jc w:val="center"/>
              <w:ind w:right="62"/>
              <w:spacing w:after="0" w:line="143"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vMerge w:val="continue"/>
          </w:tcPr>
          <w:p>
            <w:pPr>
              <w:spacing w:after="0"/>
              <w:rPr>
                <w:sz w:val="12"/>
                <w:szCs w:val="12"/>
                <w:color w:val="auto"/>
              </w:rPr>
            </w:pP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Shares</w:t>
            </w:r>
          </w:p>
        </w:tc>
        <w:tc>
          <w:tcPr>
            <w:tcW w:w="14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Price Paid</w:t>
            </w:r>
          </w:p>
        </w:tc>
        <w:tc>
          <w:tcPr>
            <w:tcW w:w="1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Purchased as</w:t>
            </w: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First Quarter Purchases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Per</w:t>
            </w:r>
          </w:p>
        </w:tc>
        <w:tc>
          <w:tcPr>
            <w:tcW w:w="1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Part of Publicly</w:t>
            </w:r>
          </w:p>
        </w:tc>
        <w:tc>
          <w:tcPr>
            <w:tcW w:w="14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Announced Plan</w:t>
            </w: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January 1 – January 31, 2026</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February 1 – February 28, 2026</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March 1 - March 30, 2026</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26.89</w:t>
            </w:r>
          </w:p>
        </w:tc>
        <w:tc>
          <w:tcPr>
            <w:tcW w:w="10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First Quarter Purchases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According to the terms of our 2024 Credit Facilities, our ability to declare or make any dividend payments is limited. Refer to Note 5, Debt and Financing Arrangements, to the condensed consolidated financial statements for a description of working capital restrictions and limitations on the payment of dividends.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quarter ended March 31, 2026,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2"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7"/>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8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3"/>
        </w:trPr>
        <w:tc>
          <w:tcPr>
            <w:tcW w:w="1420" w:type="dxa"/>
            <w:vAlign w:val="bottom"/>
            <w:gridSpan w:val="2"/>
          </w:tcPr>
          <w:p>
            <w:pPr>
              <w:spacing w:after="0"/>
              <w:rPr>
                <w:sz w:val="24"/>
                <w:szCs w:val="24"/>
                <w:color w:val="auto"/>
              </w:rPr>
            </w:pPr>
          </w:p>
        </w:tc>
        <w:tc>
          <w:tcPr>
            <w:tcW w:w="2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14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10.1*</w:t>
            </w:r>
          </w:p>
        </w:tc>
        <w:tc>
          <w:tcPr>
            <w:tcW w:w="980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8"/>
                <w:szCs w:val="18"/>
                <w:color w:val="0000FF"/>
              </w:rPr>
              <w:t>Form of Indemnification Agreement</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10.2†</w:t>
            </w:r>
          </w:p>
        </w:tc>
        <w:tc>
          <w:tcPr>
            <w:tcW w:w="9800" w:type="dxa"/>
            <w:vAlign w:val="bottom"/>
            <w:gridSpan w:val="9"/>
          </w:tcPr>
          <w:p>
            <w:pPr>
              <w:ind w:left="20"/>
              <w:spacing w:after="0" w:line="189"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Second Amended and Restated Employment Agreement between the Company and Ware Grove dated February 25, 2026</w:t>
              </w:r>
            </w:hyperlink>
          </w:p>
        </w:tc>
      </w:tr>
      <w:tr>
        <w:trPr>
          <w:trHeight w:val="156"/>
        </w:trPr>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780" w:type="dxa"/>
            <w:vAlign w:val="bottom"/>
            <w:tcBorders>
              <w:top w:val="single" w:sz="8" w:color="0000FF"/>
            </w:tcBorders>
            <w:gridSpan w:val="8"/>
          </w:tcPr>
          <w:p>
            <w:pPr>
              <w:ind w:left="20"/>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(filed as Exhibit 10.6 to the Company’s Annual Report on Form 10-K for the year ended December 31, 2025, File No. 001-</w:t>
              </w:r>
            </w:hyperlink>
          </w:p>
        </w:tc>
        <w:tc>
          <w:tcPr>
            <w:tcW w:w="2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700" w:type="dxa"/>
            <w:vAlign w:val="bottom"/>
            <w:tcBorders>
              <w:top w:val="single" w:sz="8" w:color="0000FF"/>
            </w:tcBorders>
            <w:gridSpan w:val="7"/>
          </w:tcPr>
          <w:p>
            <w:pPr>
              <w:ind w:left="20"/>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32961, dated February 26, 2026, and incorporated herein by reference).</w:t>
              </w:r>
            </w:hyperlink>
          </w:p>
        </w:tc>
        <w:tc>
          <w:tcPr>
            <w:tcW w:w="100" w:type="dxa"/>
            <w:vAlign w:val="bottom"/>
            <w:gridSpan w:val="2"/>
          </w:tcPr>
          <w:p>
            <w:pPr>
              <w:spacing w:after="0"/>
              <w:rPr>
                <w:sz w:val="13"/>
                <w:szCs w:val="13"/>
                <w:color w:val="auto"/>
              </w:rPr>
            </w:pPr>
          </w:p>
        </w:tc>
      </w:tr>
      <w:tr>
        <w:trPr>
          <w:trHeight w:val="34"/>
        </w:trPr>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2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10.3*</w:t>
            </w:r>
          </w:p>
        </w:tc>
        <w:tc>
          <w:tcPr>
            <w:tcW w:w="9800" w:type="dxa"/>
            <w:vAlign w:val="bottom"/>
            <w:gridSpan w:val="9"/>
            <w:shd w:val="clear" w:color="auto" w:fill="CCEEFF"/>
          </w:tcPr>
          <w:p>
            <w:pPr>
              <w:ind w:left="20"/>
              <w:spacing w:after="0" w:line="189" w:lineRule="exact"/>
              <w:rPr>
                <w:sz w:val="20"/>
                <w:szCs w:val="20"/>
                <w:color w:val="auto"/>
              </w:rPr>
            </w:pPr>
            <w:r>
              <w:rPr>
                <w:rFonts w:ascii="Arial" w:cs="Arial" w:eastAsia="Arial" w:hAnsi="Arial"/>
                <w:sz w:val="18"/>
                <w:szCs w:val="18"/>
                <w:color w:val="0000FF"/>
              </w:rPr>
              <w:t>Consulting Agreement, dated March 2, 2026, by and between CBIZ, Inc. and Chris Spurio.</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29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31.1</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 Oxley Act of 2002.</w:t>
            </w: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31.2</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Financial Officer Pursuant to Section 302 of the Sarbanes-Oxley Act of 2002.</w:t>
            </w:r>
          </w:p>
        </w:tc>
        <w:tc>
          <w:tcPr>
            <w:tcW w:w="20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32.1</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9"/>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Section 906 of the Sarbanes-Oxley Act of 2002.</w:t>
            </w: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32.2</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Financial Officer Pursuant to Section 906 of the Sarbanes-Oxley Act of 2002.</w:t>
            </w:r>
          </w:p>
        </w:tc>
        <w:tc>
          <w:tcPr>
            <w:tcW w:w="200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101.INS</w:t>
            </w:r>
          </w:p>
        </w:tc>
        <w:tc>
          <w:tcPr>
            <w:tcW w:w="9800" w:type="dxa"/>
            <w:vAlign w:val="bottom"/>
            <w:gridSpan w:val="9"/>
          </w:tcPr>
          <w:p>
            <w:pPr>
              <w:ind w:left="20"/>
              <w:spacing w:after="0" w:line="176"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41"/>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0" w:type="dxa"/>
            <w:vAlign w:val="bottom"/>
            <w:gridSpan w:val="9"/>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32"/>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9"/>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1380" w:firstLine="26"/>
        <w:spacing w:after="0" w:line="419" w:lineRule="auto"/>
        <w:tabs>
          <w:tab w:leader="none" w:pos="14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the Exhibit 101 attachments) * Indicates documents filed herewith.</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document furnished herewith.</w:t>
      </w:r>
    </w:p>
    <w:p>
      <w:pPr>
        <w:spacing w:after="0" w:line="117" w:lineRule="exact"/>
        <w:rPr>
          <w:sz w:val="20"/>
          <w:szCs w:val="20"/>
          <w:color w:val="auto"/>
        </w:rPr>
      </w:pPr>
    </w:p>
    <w:p>
      <w:pPr>
        <w:ind w:left="5520" w:right="1840" w:hanging="5512"/>
        <w:spacing w:after="0" w:line="929"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 filed pursuant to Item 601 of Regulation S-K.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CBIZ, Inc.</w:t>
            </w:r>
          </w:p>
        </w:tc>
      </w:tr>
      <w:tr>
        <w:trPr>
          <w:trHeight w:val="232"/>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36"/>
        </w:trPr>
        <w:tc>
          <w:tcPr>
            <w:tcW w:w="3820" w:type="dxa"/>
            <w:vAlign w:val="bottom"/>
            <w:gridSpan w:val="3"/>
          </w:tcPr>
          <w:p>
            <w:pPr>
              <w:spacing w:after="0"/>
              <w:rPr>
                <w:sz w:val="20"/>
                <w:szCs w:val="20"/>
                <w:color w:val="auto"/>
              </w:rPr>
            </w:pPr>
            <w:r>
              <w:rPr>
                <w:rFonts w:ascii="Arial" w:cs="Arial" w:eastAsia="Arial" w:hAnsi="Arial"/>
                <w:sz w:val="18"/>
                <w:szCs w:val="18"/>
                <w:color w:val="auto"/>
              </w:rPr>
              <w:t>Date:  April 30, 2026</w:t>
            </w:r>
          </w:p>
        </w:tc>
        <w:tc>
          <w:tcPr>
            <w:tcW w:w="7380" w:type="dxa"/>
            <w:vAlign w:val="bottom"/>
            <w:gridSpan w:val="2"/>
          </w:tcPr>
          <w:p>
            <w:pPr>
              <w:ind w:left="2080"/>
              <w:spacing w:after="0"/>
              <w:rPr>
                <w:sz w:val="20"/>
                <w:szCs w:val="20"/>
                <w:color w:val="auto"/>
              </w:rPr>
            </w:pPr>
            <w:r>
              <w:rPr>
                <w:rFonts w:ascii="Arial" w:cs="Arial" w:eastAsia="Arial" w:hAnsi="Arial"/>
                <w:sz w:val="18"/>
                <w:szCs w:val="18"/>
                <w:color w:val="auto"/>
              </w:rPr>
              <w:t>By:   /s/ BRAD LAKHIA</w:t>
            </w:r>
          </w:p>
        </w:tc>
      </w:tr>
      <w:tr>
        <w:trPr>
          <w:trHeight w:val="21"/>
        </w:trPr>
        <w:tc>
          <w:tcPr>
            <w:tcW w:w="6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Brad Lakhia</w:t>
            </w:r>
          </w:p>
        </w:tc>
      </w:tr>
      <w:tr>
        <w:trPr>
          <w:trHeight w:val="229"/>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Duly Authorized Officer and Principal Financial Officer</w:t>
            </w:r>
          </w:p>
        </w:tc>
      </w:tr>
    </w:tbl>
    <w:p>
      <w:pPr>
        <w:sectPr>
          <w:pgSz w:w="11900" w:h="16838" w:orient="portrait"/>
          <w:cols w:equalWidth="0" w:num="1">
            <w:col w:w="11220"/>
          </w:cols>
          <w:pgMar w:left="320" w:top="890"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INDEMNIFICATION AGREEMENT</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Indemnification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[________________], is by and between CBIZ, Inc., a Delaware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[NAME OF DIRECTOR/OFFICER]</w:t>
      </w:r>
      <w:r>
        <w:rPr>
          <w:rFonts w:ascii="Arial" w:cs="Arial" w:eastAsia="Arial" w:hAnsi="Arial"/>
          <w:sz w:val="25"/>
          <w:szCs w:val="25"/>
          <w:color w:val="auto"/>
          <w:vertAlign w:val="superscript"/>
        </w:rPr>
        <w:t>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20"/>
          <w:szCs w:val="20"/>
          <w:color w:val="auto"/>
        </w:rPr>
        <w:t>WHEREAS, [Indemnitee is [a director/an officer] of the Company][the Company expects Indemnitee to join the Company as [a director/an officer]]</w:t>
      </w:r>
      <w:r>
        <w:rPr>
          <w:rFonts w:ascii="Arial" w:cs="Arial" w:eastAsia="Arial" w:hAnsi="Arial"/>
          <w:sz w:val="25"/>
          <w:szCs w:val="25"/>
          <w:color w:val="auto"/>
          <w:vertAlign w:val="superscript"/>
        </w:rPr>
        <w:t>2</w:t>
      </w:r>
      <w:r>
        <w:rPr>
          <w:rFonts w:ascii="Times New Roman" w:cs="Times New Roman" w:eastAsia="Times New Roman" w:hAnsi="Times New Roman"/>
          <w:sz w:val="20"/>
          <w:szCs w:val="20"/>
          <w:color w:val="auto"/>
        </w:rPr>
        <w:t>;</w:t>
      </w:r>
    </w:p>
    <w:p>
      <w:pPr>
        <w:spacing w:after="0" w:line="4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both the Company and Indemnitee recognize the increased risk of litigation and other claims being asserted against directors and officers of public companies;</w:t>
      </w:r>
    </w:p>
    <w:p>
      <w:pPr>
        <w:spacing w:after="0" w:line="1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WHEREAS,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and insurance coverage is available; and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WHEREAS, in recognition of the need to provide Indemnitee with substantial protection against personal liability, in order to procure Indemnitee’s [continued] service as a [director/officer] of the Company and to enhance Indemnitee’s ability to serve the Company in an effective manner, and in order to provide such protection pursuant to express contract rights (intended to be enforceable irrespective of, among other things, any amendment to the Company’s amended and restated certificate of incorporation (as amended, the “</w:t>
      </w:r>
      <w:r>
        <w:rPr>
          <w:rFonts w:ascii="Times New Roman" w:cs="Times New Roman" w:eastAsia="Times New Roman" w:hAnsi="Times New Roman"/>
          <w:sz w:val="20"/>
          <w:szCs w:val="20"/>
          <w:b w:val="1"/>
          <w:bCs w:val="1"/>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Incorporation</w:t>
      </w:r>
      <w:r>
        <w:rPr>
          <w:rFonts w:ascii="Times New Roman" w:cs="Times New Roman" w:eastAsia="Times New Roman" w:hAnsi="Times New Roman"/>
          <w:sz w:val="20"/>
          <w:szCs w:val="20"/>
          <w:color w:val="auto"/>
        </w:rPr>
        <w:t>”) or amended and restated bylaws (as amended, the “</w:t>
      </w:r>
      <w:r>
        <w:rPr>
          <w:rFonts w:ascii="Times New Roman" w:cs="Times New Roman" w:eastAsia="Times New Roman" w:hAnsi="Times New Roman"/>
          <w:sz w:val="20"/>
          <w:szCs w:val="20"/>
          <w:b w:val="1"/>
          <w:bCs w:val="1"/>
          <w:color w:val="auto"/>
        </w:rPr>
        <w:t>Bylaws</w:t>
      </w:r>
      <w:r>
        <w:rPr>
          <w:rFonts w:ascii="Times New Roman" w:cs="Times New Roman" w:eastAsia="Times New Roman" w:hAnsi="Times New Roman"/>
          <w:sz w:val="20"/>
          <w:szCs w:val="20"/>
          <w:color w:val="auto"/>
        </w:rPr>
        <w:t>” and together with the Certificate of Incorporation,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Constituent Documents</w:t>
      </w:r>
      <w:r>
        <w:rPr>
          <w:rFonts w:ascii="Times New Roman" w:cs="Times New Roman" w:eastAsia="Times New Roman" w:hAnsi="Times New Roman"/>
          <w:sz w:val="20"/>
          <w:szCs w:val="20"/>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1(f) below) to, Indemnitee as set forth in this Agreement and to the extent insurance is maintained for the [continued] coverage of Indemnitee under the Company’s directors’ and officers’ liability insurance policies.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foregoing and the Indemnitee’s agreement to [continue to] provide services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the parties agree as follows:</w:t>
      </w:r>
    </w:p>
    <w:p>
      <w:pPr>
        <w:spacing w:after="0" w:line="207"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1" w:lineRule="exact"/>
        <w:rPr>
          <w:rFonts w:ascii="Times New Roman" w:cs="Times New Roman" w:eastAsia="Times New Roman" w:hAnsi="Times New Roman"/>
          <w:sz w:val="20"/>
          <w:szCs w:val="20"/>
          <w:color w:val="auto"/>
        </w:rPr>
      </w:pPr>
    </w:p>
    <w:p>
      <w:pPr>
        <w:ind w:left="980" w:hanging="324"/>
        <w:spacing w:after="0" w:line="287" w:lineRule="auto"/>
        <w:tabs>
          <w:tab w:leader="none" w:pos="97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has the meaning given to the term “beneficial owner” in Rule 13d-3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the occurrence after the date of this Agreement of any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645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72"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Bracketed language to be updated throughout to reflect whether signatory is a director or an officer.]</w:t>
      </w:r>
    </w:p>
    <w:p>
      <w:pPr>
        <w:ind w:left="120" w:hanging="112"/>
        <w:spacing w:after="0" w:line="204" w:lineRule="auto"/>
        <w:tabs>
          <w:tab w:leader="none" w:pos="1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Bracketed language to be updated throughout to reflect whether director/officer is a continuing director/officer or a new director/officer.]</w:t>
      </w:r>
    </w:p>
    <w:p>
      <w:pPr>
        <w:sectPr>
          <w:pgSz w:w="11900" w:h="16838" w:orient="portrait"/>
          <w:cols w:equalWidth="0" w:num="1">
            <w:col w:w="11240"/>
          </w:cols>
          <w:pgMar w:left="320" w:top="115" w:right="339" w:bottom="1440" w:gutter="0" w:footer="0" w:header="0"/>
        </w:sectPr>
      </w:pPr>
    </w:p>
    <w:bookmarkStart w:id="37" w:name="page38"/>
    <w:bookmarkEnd w:id="37"/>
    <w:p>
      <w:pPr>
        <w:spacing w:after="0" w:line="122" w:lineRule="exact"/>
        <w:rPr>
          <w:sz w:val="20"/>
          <w:szCs w:val="20"/>
          <w:color w:val="auto"/>
        </w:rPr>
      </w:pPr>
    </w:p>
    <w:p>
      <w:pPr>
        <w:jc w:val="both"/>
        <w:ind w:left="644" w:hanging="320"/>
        <w:spacing w:after="0" w:line="254" w:lineRule="auto"/>
        <w:tabs>
          <w:tab w:leader="none" w:pos="64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is or becomes the Beneficial Owner, directly or indirectly, of securities of the Company representing 30% or more of the Company’s then outstanding Voting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87" w:lineRule="exact"/>
        <w:rPr>
          <w:rFonts w:ascii="Times New Roman" w:cs="Times New Roman" w:eastAsia="Times New Roman" w:hAnsi="Times New Roman"/>
          <w:sz w:val="20"/>
          <w:szCs w:val="20"/>
          <w:color w:val="auto"/>
        </w:rPr>
      </w:pPr>
    </w:p>
    <w:p>
      <w:pPr>
        <w:jc w:val="both"/>
        <w:ind w:left="644" w:hanging="320"/>
        <w:spacing w:after="0" w:line="258" w:lineRule="auto"/>
        <w:tabs>
          <w:tab w:leader="none" w:pos="64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50% of the combined voting power of the outstanding Voting Securities of the entity resulting from such transaction;</w:t>
      </w:r>
    </w:p>
    <w:p>
      <w:pPr>
        <w:spacing w:after="0" w:line="172" w:lineRule="exact"/>
        <w:rPr>
          <w:rFonts w:ascii="Times New Roman" w:cs="Times New Roman" w:eastAsia="Times New Roman" w:hAnsi="Times New Roman"/>
          <w:sz w:val="20"/>
          <w:szCs w:val="20"/>
          <w:color w:val="auto"/>
        </w:rPr>
      </w:pPr>
    </w:p>
    <w:p>
      <w:pPr>
        <w:jc w:val="both"/>
        <w:ind w:left="644" w:hanging="320"/>
        <w:spacing w:after="0" w:line="257" w:lineRule="auto"/>
        <w:tabs>
          <w:tab w:leader="none" w:pos="644"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Board; or</w:t>
      </w:r>
    </w:p>
    <w:p>
      <w:pPr>
        <w:spacing w:after="0" w:line="172" w:lineRule="exact"/>
        <w:rPr>
          <w:rFonts w:ascii="Times New Roman" w:cs="Times New Roman" w:eastAsia="Times New Roman" w:hAnsi="Times New Roman"/>
          <w:sz w:val="20"/>
          <w:szCs w:val="20"/>
          <w:color w:val="auto"/>
        </w:rPr>
      </w:pPr>
    </w:p>
    <w:p>
      <w:pPr>
        <w:ind w:left="644" w:right="20" w:hanging="320"/>
        <w:spacing w:after="0" w:line="283" w:lineRule="auto"/>
        <w:tabs>
          <w:tab w:leader="none" w:pos="63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approve a plan of complete liquidation or dissolution of the Company or an agreement for the sale or disposition by the Company of all or substantially all of the Company’s assets.</w:t>
      </w:r>
    </w:p>
    <w:p>
      <w:pPr>
        <w:spacing w:after="0" w:line="155"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means:</w:t>
      </w:r>
    </w:p>
    <w:p>
      <w:pPr>
        <w:spacing w:after="0" w:line="219" w:lineRule="exact"/>
        <w:rPr>
          <w:rFonts w:ascii="Times New Roman" w:cs="Times New Roman" w:eastAsia="Times New Roman" w:hAnsi="Times New Roman"/>
          <w:sz w:val="20"/>
          <w:szCs w:val="20"/>
          <w:color w:val="auto"/>
        </w:rPr>
      </w:pPr>
    </w:p>
    <w:p>
      <w:pPr>
        <w:jc w:val="both"/>
        <w:ind w:left="644" w:hanging="320"/>
        <w:spacing w:after="0" w:line="261" w:lineRule="auto"/>
        <w:tabs>
          <w:tab w:leader="none" w:pos="64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threatened, pending or completed action, suit, arbitration, proceeding or alternative dispute resolution mechanism, whether civil, criminal, administrative, arbitrative, investigative or other, and whether made pursuant to federal, state or other law; or</w:t>
      </w:r>
    </w:p>
    <w:p>
      <w:pPr>
        <w:spacing w:after="0" w:line="181" w:lineRule="exact"/>
        <w:rPr>
          <w:rFonts w:ascii="Times New Roman" w:cs="Times New Roman" w:eastAsia="Times New Roman" w:hAnsi="Times New Roman"/>
          <w:sz w:val="20"/>
          <w:szCs w:val="20"/>
          <w:color w:val="auto"/>
        </w:rPr>
      </w:pPr>
    </w:p>
    <w:p>
      <w:pPr>
        <w:ind w:left="644" w:hanging="320"/>
        <w:spacing w:after="0" w:line="283" w:lineRule="auto"/>
        <w:tabs>
          <w:tab w:leader="none" w:pos="64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inquiry, hearing or investigation that the Indemnitee determines might lead to the institution of any such action, suit, proceeding or alternative dispute resolution mechanism.</w:t>
      </w:r>
    </w:p>
    <w:p>
      <w:pPr>
        <w:spacing w:after="0" w:line="142"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Delaware Court</w:t>
      </w:r>
      <w:r>
        <w:rPr>
          <w:rFonts w:ascii="Times New Roman" w:cs="Times New Roman" w:eastAsia="Times New Roman" w:hAnsi="Times New Roman"/>
          <w:sz w:val="20"/>
          <w:szCs w:val="20"/>
          <w:color w:val="auto"/>
        </w:rPr>
        <w:t>” shall have the meaning ascribed to it in Section 9(e) below.</w:t>
      </w:r>
    </w:p>
    <w:p>
      <w:pPr>
        <w:spacing w:after="0" w:line="229" w:lineRule="exact"/>
        <w:rPr>
          <w:rFonts w:ascii="Times New Roman" w:cs="Times New Roman" w:eastAsia="Times New Roman" w:hAnsi="Times New Roman"/>
          <w:sz w:val="20"/>
          <w:szCs w:val="20"/>
          <w:color w:val="auto"/>
        </w:rPr>
      </w:pPr>
    </w:p>
    <w:p>
      <w:pPr>
        <w:ind w:left="324" w:hanging="324"/>
        <w:spacing w:after="0" w:line="273" w:lineRule="auto"/>
        <w:tabs>
          <w:tab w:leader="none" w:pos="31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Disinterested Director</w:t>
      </w:r>
      <w:r>
        <w:rPr>
          <w:rFonts w:ascii="Times New Roman" w:cs="Times New Roman" w:eastAsia="Times New Roman" w:hAnsi="Times New Roman"/>
          <w:sz w:val="20"/>
          <w:szCs w:val="20"/>
          <w:color w:val="auto"/>
        </w:rPr>
        <w:t>” means a director of the Company who is not and was not a party to the Claim in respect of which indemnification is sought by Indemnitee.</w:t>
      </w:r>
    </w:p>
    <w:p>
      <w:pPr>
        <w:spacing w:after="0" w:line="165" w:lineRule="exact"/>
        <w:rPr>
          <w:rFonts w:ascii="Times New Roman" w:cs="Times New Roman" w:eastAsia="Times New Roman" w:hAnsi="Times New Roman"/>
          <w:sz w:val="20"/>
          <w:szCs w:val="20"/>
          <w:color w:val="auto"/>
        </w:rPr>
      </w:pPr>
    </w:p>
    <w:p>
      <w:pPr>
        <w:jc w:val="both"/>
        <w:ind w:left="324" w:hanging="324"/>
        <w:spacing w:after="0" w:line="252" w:lineRule="auto"/>
        <w:tabs>
          <w:tab w:leader="none" w:pos="32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means reasonable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supersedeas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ectPr>
          <w:pgSz w:w="11900" w:h="16838" w:orient="portrait"/>
          <w:cols w:equalWidth="0" w:num="1">
            <w:col w:w="10584"/>
          </w:cols>
          <w:pgMar w:left="976" w:top="1440" w:right="339" w:bottom="1440" w:gutter="0" w:footer="0" w:header="0"/>
        </w:sectPr>
      </w:pPr>
    </w:p>
    <w:bookmarkStart w:id="38" w:name="page39"/>
    <w:bookmarkEnd w:id="38"/>
    <w:p>
      <w:pPr>
        <w:spacing w:after="0" w:line="118" w:lineRule="exact"/>
        <w:rPr>
          <w:sz w:val="20"/>
          <w:szCs w:val="20"/>
          <w:color w:val="auto"/>
        </w:rPr>
      </w:pPr>
    </w:p>
    <w:p>
      <w:pPr>
        <w:ind w:left="324" w:hanging="324"/>
        <w:spacing w:after="0" w:line="273" w:lineRule="auto"/>
        <w:tabs>
          <w:tab w:leader="none" w:pos="3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Expense Advance</w:t>
      </w:r>
      <w:r>
        <w:rPr>
          <w:rFonts w:ascii="Times New Roman" w:cs="Times New Roman" w:eastAsia="Times New Roman" w:hAnsi="Times New Roman"/>
          <w:sz w:val="20"/>
          <w:szCs w:val="20"/>
          <w:color w:val="auto"/>
        </w:rPr>
        <w:t>” means any payment of Expenses advanced to Indemnitee by the Company pursuant to Section 4 or Section 5 hereof.</w:t>
      </w:r>
    </w:p>
    <w:p>
      <w:pPr>
        <w:spacing w:after="0" w:line="165" w:lineRule="exact"/>
        <w:rPr>
          <w:rFonts w:ascii="Times New Roman" w:cs="Times New Roman" w:eastAsia="Times New Roman" w:hAnsi="Times New Roman"/>
          <w:sz w:val="20"/>
          <w:szCs w:val="20"/>
          <w:color w:val="auto"/>
        </w:rPr>
      </w:pPr>
    </w:p>
    <w:p>
      <w:pPr>
        <w:jc w:val="both"/>
        <w:ind w:left="324" w:hanging="324"/>
        <w:spacing w:after="0" w:line="270" w:lineRule="auto"/>
        <w:tabs>
          <w:tab w:leader="none" w:pos="31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Indemnifiable Event</w:t>
      </w:r>
      <w:r>
        <w:rPr>
          <w:rFonts w:ascii="Times New Roman" w:cs="Times New Roman" w:eastAsia="Times New Roman" w:hAnsi="Times New Roman"/>
          <w:sz w:val="19"/>
          <w:szCs w:val="19"/>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 w:cs="Times New Roman" w:eastAsia="Times New Roman" w:hAnsi="Times New Roman"/>
          <w:sz w:val="19"/>
          <w:szCs w:val="19"/>
          <w:b w:val="1"/>
          <w:bCs w:val="1"/>
          <w:color w:val="auto"/>
        </w:rPr>
        <w:t>Enterprise</w:t>
      </w:r>
      <w:r>
        <w:rPr>
          <w:rFonts w:ascii="Times New Roman" w:cs="Times New Roman" w:eastAsia="Times New Roman" w:hAnsi="Times New Roman"/>
          <w:sz w:val="19"/>
          <w:szCs w:val="19"/>
          <w:color w:val="auto"/>
        </w:rPr>
        <w:t>”) or by reason of an action or inaction by Indemnitee in any such capacity (whether or not serving in such capacity at the time any Loss is incurred for which indemnification can be provided under this Agreement).</w:t>
      </w:r>
    </w:p>
    <w:p>
      <w:pPr>
        <w:spacing w:after="0" w:line="158" w:lineRule="exact"/>
        <w:rPr>
          <w:rFonts w:ascii="Times New Roman" w:cs="Times New Roman" w:eastAsia="Times New Roman" w:hAnsi="Times New Roman"/>
          <w:sz w:val="19"/>
          <w:szCs w:val="19"/>
          <w:color w:val="auto"/>
        </w:rPr>
      </w:pPr>
    </w:p>
    <w:p>
      <w:pPr>
        <w:jc w:val="both"/>
        <w:ind w:left="324" w:hanging="324"/>
        <w:spacing w:after="0" w:line="254"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Counsel</w:t>
      </w:r>
      <w:r>
        <w:rPr>
          <w:rFonts w:ascii="Times New Roman" w:cs="Times New Roman" w:eastAsia="Times New Roman" w:hAnsi="Times New Roman"/>
          <w:sz w:val="20"/>
          <w:szCs w:val="20"/>
          <w:color w:val="auto"/>
        </w:rPr>
        <w:t>” means a law firm, or a member of a law firm, that is experienced in matters of corporation law and neither presently performs, nor in the past five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6" w:lineRule="exact"/>
        <w:rPr>
          <w:rFonts w:ascii="Times New Roman" w:cs="Times New Roman" w:eastAsia="Times New Roman" w:hAnsi="Times New Roman"/>
          <w:sz w:val="20"/>
          <w:szCs w:val="20"/>
          <w:color w:val="auto"/>
        </w:rPr>
      </w:pPr>
    </w:p>
    <w:p>
      <w:pPr>
        <w:jc w:val="both"/>
        <w:ind w:left="324" w:hanging="324"/>
        <w:spacing w:after="0" w:line="254"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187" w:lineRule="exact"/>
        <w:rPr>
          <w:rFonts w:ascii="Times New Roman" w:cs="Times New Roman" w:eastAsia="Times New Roman" w:hAnsi="Times New Roman"/>
          <w:sz w:val="20"/>
          <w:szCs w:val="20"/>
          <w:color w:val="auto"/>
        </w:rPr>
      </w:pPr>
    </w:p>
    <w:p>
      <w:pPr>
        <w:jc w:val="both"/>
        <w:ind w:left="324" w:hanging="324"/>
        <w:spacing w:after="0" w:line="263" w:lineRule="auto"/>
        <w:tabs>
          <w:tab w:leader="none" w:pos="3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61"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of Conduct Determination</w:t>
      </w:r>
      <w:r>
        <w:rPr>
          <w:rFonts w:ascii="Times New Roman" w:cs="Times New Roman" w:eastAsia="Times New Roman" w:hAnsi="Times New Roman"/>
          <w:sz w:val="20"/>
          <w:szCs w:val="20"/>
          <w:color w:val="auto"/>
        </w:rPr>
        <w:t>” shall have the meaning ascribed to it in Section 9(b) below.</w:t>
      </w:r>
    </w:p>
    <w:p>
      <w:pPr>
        <w:spacing w:after="0" w:line="229"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Securities</w:t>
      </w:r>
      <w:r>
        <w:rPr>
          <w:rFonts w:ascii="Times New Roman" w:cs="Times New Roman" w:eastAsia="Times New Roman" w:hAnsi="Times New Roman"/>
          <w:sz w:val="20"/>
          <w:szCs w:val="20"/>
          <w:color w:val="auto"/>
        </w:rPr>
        <w:t>” means any securities of the Company that vote generally in the election of directors.</w:t>
      </w:r>
    </w:p>
    <w:p>
      <w:pPr>
        <w:sectPr>
          <w:pgSz w:w="11900" w:h="16838" w:orient="portrait"/>
          <w:cols w:equalWidth="0" w:num="1">
            <w:col w:w="10584"/>
          </w:cols>
          <w:pgMar w:left="976" w:top="1440" w:right="339" w:bottom="1440" w:gutter="0" w:footer="0" w:header="0"/>
        </w:sectPr>
      </w:pPr>
    </w:p>
    <w:bookmarkStart w:id="39" w:name="page40"/>
    <w:bookmarkEnd w:id="39"/>
    <w:p>
      <w:pPr>
        <w:spacing w:after="0" w:line="122" w:lineRule="exact"/>
        <w:rPr>
          <w:sz w:val="20"/>
          <w:szCs w:val="20"/>
          <w:color w:val="auto"/>
        </w:rPr>
      </w:pPr>
    </w:p>
    <w:p>
      <w:pPr>
        <w:jc w:val="both"/>
        <w:ind w:left="328" w:hanging="328"/>
        <w:spacing w:after="0" w:line="250" w:lineRule="auto"/>
        <w:tabs>
          <w:tab w:leader="none" w:pos="31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Services to the Company</w:t>
      </w:r>
      <w:r>
        <w:rPr>
          <w:rFonts w:ascii="Times New Roman" w:cs="Times New Roman" w:eastAsia="Times New Roman" w:hAnsi="Times New Roman"/>
          <w:sz w:val="20"/>
          <w:szCs w:val="20"/>
          <w:color w:val="auto"/>
        </w:rPr>
        <w:t>. Indemnitee agrees to [serve/continue to serve] as a director or officer of the Company for so long as Indemnitee is duly elected or appointed or until Indemnitee tenders [his/her] resignation or is no longer serving in such capacity. This Agreement shall not be deemed an employment agreement between the Company (or any of its subsidiaries or Enterprise) and Indemnitee. Indemnitee specifically acknowledges that [his/her] [employment with / service to] the Company or any of its subsidiaries or Enterprise is at will and the Indemnitee may be discharged at any time for any reason, with or without cause, except as may be otherwise provided in any written employment agreement between Indemnitee and the Company (or any of its subsidiaries or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provided in Section 12 hereof.</w:t>
      </w:r>
    </w:p>
    <w:p>
      <w:pPr>
        <w:spacing w:after="0" w:line="196"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Subject to Section 9 and Section 10 of this Agreement, the 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78" w:lineRule="exact"/>
        <w:rPr>
          <w:rFonts w:ascii="Times New Roman" w:cs="Times New Roman" w:eastAsia="Times New Roman" w:hAnsi="Times New Roman"/>
          <w:sz w:val="20"/>
          <w:szCs w:val="20"/>
          <w:color w:val="auto"/>
        </w:rPr>
      </w:pPr>
    </w:p>
    <w:p>
      <w:pPr>
        <w:jc w:val="both"/>
        <w:ind w:left="328" w:hanging="328"/>
        <w:spacing w:after="0" w:line="265" w:lineRule="auto"/>
        <w:tabs>
          <w:tab w:leader="none" w:pos="317"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Advancement of Expenses</w:t>
      </w:r>
      <w:r>
        <w:rPr>
          <w:rFonts w:ascii="Times New Roman" w:cs="Times New Roman" w:eastAsia="Times New Roman" w:hAnsi="Times New Roman"/>
          <w:sz w:val="19"/>
          <w:szCs w:val="19"/>
          <w:color w:val="auto"/>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Without limiting the generality or effect of the foregoing, within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documentation or information only to the extent that the provision thereof would undermine or otherwise jeopardize attorney-client privilege. In connection with any request for Expense Advances, Indemnitee shall execute and deliver to the Company an undertaking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sectPr>
          <w:pgSz w:w="11900" w:h="16838" w:orient="portrait"/>
          <w:cols w:equalWidth="0" w:num="1">
            <w:col w:w="10908"/>
          </w:cols>
          <w:pgMar w:left="652" w:top="1440" w:right="339" w:bottom="1440" w:gutter="0" w:footer="0" w:header="0"/>
        </w:sectPr>
      </w:pPr>
    </w:p>
    <w:bookmarkStart w:id="40" w:name="page41"/>
    <w:bookmarkEnd w:id="40"/>
    <w:p>
      <w:pPr>
        <w:spacing w:after="0" w:line="122" w:lineRule="exact"/>
        <w:rPr>
          <w:sz w:val="20"/>
          <w:szCs w:val="20"/>
          <w:color w:val="auto"/>
        </w:rPr>
      </w:pPr>
    </w:p>
    <w:p>
      <w:pPr>
        <w:jc w:val="both"/>
        <w:ind w:left="328" w:hanging="328"/>
        <w:spacing w:after="0" w:line="251" w:lineRule="auto"/>
        <w:tabs>
          <w:tab w:leader="none" w:pos="31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for Expenses in Enforcing Rights</w:t>
      </w:r>
      <w:r>
        <w:rPr>
          <w:rFonts w:ascii="Times New Roman" w:cs="Times New Roman" w:eastAsia="Times New Roman" w:hAnsi="Times New Roman"/>
          <w:sz w:val="20"/>
          <w:szCs w:val="20"/>
          <w:color w:val="auto"/>
        </w:rPr>
        <w:t>. 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Indemnitee shall be required to reimburse the Company in the event that a final judicial determination is made that such action brought by Indemnitee was frivolous or not made in good faith.</w:t>
      </w:r>
    </w:p>
    <w:p>
      <w:pPr>
        <w:spacing w:after="0" w:line="181" w:lineRule="exact"/>
        <w:rPr>
          <w:rFonts w:ascii="Times New Roman" w:cs="Times New Roman" w:eastAsia="Times New Roman" w:hAnsi="Times New Roman"/>
          <w:sz w:val="20"/>
          <w:szCs w:val="20"/>
          <w:color w:val="auto"/>
        </w:rPr>
      </w:pPr>
    </w:p>
    <w:p>
      <w:pPr>
        <w:jc w:val="both"/>
        <w:ind w:left="328" w:hanging="328"/>
        <w:spacing w:after="0" w:line="268" w:lineRule="auto"/>
        <w:tabs>
          <w:tab w:leader="none" w:pos="31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Partial Indemnity</w:t>
      </w:r>
      <w:r>
        <w:rPr>
          <w:rFonts w:ascii="Times New Roman" w:cs="Times New Roman" w:eastAsia="Times New Roman" w:hAnsi="Times New Roman"/>
          <w:sz w:val="20"/>
          <w:szCs w:val="20"/>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61"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and Defense of Claims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8" w:hanging="324"/>
        <w:spacing w:after="0" w:line="251" w:lineRule="auto"/>
        <w:tabs>
          <w:tab w:leader="none" w:pos="64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Claims</w:t>
      </w:r>
      <w:r>
        <w:rPr>
          <w:rFonts w:ascii="Times New Roman" w:cs="Times New Roman" w:eastAsia="Times New Roman" w:hAnsi="Times New Roman"/>
          <w:sz w:val="20"/>
          <w:szCs w:val="20"/>
          <w:color w:val="auto"/>
        </w:rPr>
        <w:t>. Indemnitee shall notify the Company in writing as soon as practicable of any Claim which could relate to an Indemnifiable Event or for which Indemnitee could seek Expense Advances, including a description of the nature of, and the facts underlying, such Claim. The failure by Indemnitee to timely notify the Company hereunder shall not relieve the Company from any liability hereunder. If at the time of the receipt of such notice, the Company has directors’ and officers’ liability insurance in effect under which coverage for Claims related to Indemnifiable Events is potentially available, the Company shall give prompt written notice to the applicable insurers in accordance with the procedures set forth in the applicable policies. The Company shall promptly provide to Indemnitee a copy of such notice delivered to the applicable insurers, and copies of all subsequent correspondence between the Company and such insurers regarding the Claim.</w:t>
      </w:r>
    </w:p>
    <w:p>
      <w:pPr>
        <w:sectPr>
          <w:pgSz w:w="11900" w:h="16838" w:orient="portrait"/>
          <w:cols w:equalWidth="0" w:num="1">
            <w:col w:w="10908"/>
          </w:cols>
          <w:pgMar w:left="652" w:top="1440" w:right="339" w:bottom="1440" w:gutter="0" w:footer="0" w:header="0"/>
        </w:sectPr>
      </w:pPr>
    </w:p>
    <w:bookmarkStart w:id="41" w:name="page42"/>
    <w:bookmarkEnd w:id="41"/>
    <w:p>
      <w:pPr>
        <w:spacing w:after="0" w:line="122" w:lineRule="exact"/>
        <w:rPr>
          <w:sz w:val="20"/>
          <w:szCs w:val="20"/>
          <w:color w:val="auto"/>
        </w:rPr>
      </w:pPr>
    </w:p>
    <w:p>
      <w:pPr>
        <w:jc w:val="both"/>
        <w:ind w:left="648" w:hanging="324"/>
        <w:spacing w:after="0" w:line="249" w:lineRule="auto"/>
        <w:tabs>
          <w:tab w:leader="none" w:pos="63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Defense of Claims</w:t>
      </w:r>
      <w:r>
        <w:rPr>
          <w:rFonts w:ascii="Times New Roman" w:cs="Times New Roman" w:eastAsia="Times New Roman" w:hAnsi="Times New Roman"/>
          <w:sz w:val="20"/>
          <w:szCs w:val="20"/>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96"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 upon Application for Indemnification</w:t>
      </w:r>
      <w:r>
        <w:rPr>
          <w:rFonts w:ascii="Times New Roman" w:cs="Times New Roman" w:eastAsia="Times New Roman" w:hAnsi="Times New Roman"/>
          <w:sz w:val="20"/>
          <w:szCs w:val="20"/>
          <w:color w:val="auto"/>
        </w:rPr>
        <w:t>. In order to obtain indemnification pursuant to this Agreement, Indemnitee shall submit to the Company a written request therefor, including in such request such documentation and information as is available to Indemnitee and is necessary to determine whether and to what extent Indemnitee is entitled to indemnification following the final disposition of the Claim, provided that documentation and information need not be so provided only to the extent that the provision thereof would undermine or otherwise jeopardize attorney-client privilege. Indemnification shall be made insofar as the Company determines Indemnitee is entitled to indemnification in accordance with Section 9 below.</w:t>
      </w:r>
    </w:p>
    <w:p>
      <w:pPr>
        <w:spacing w:after="0" w:line="192"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Right to Indemnificatio</w:t>
      </w:r>
      <w:r>
        <w:rPr>
          <w:rFonts w:ascii="Times New Roman" w:cs="Times New Roman" w:eastAsia="Times New Roman" w:hAnsi="Times New Roman"/>
          <w:sz w:val="20"/>
          <w:szCs w:val="20"/>
          <w:color w:val="auto"/>
        </w:rPr>
        <w:t>n.</w:t>
      </w:r>
    </w:p>
    <w:p>
      <w:pPr>
        <w:spacing w:after="0" w:line="215" w:lineRule="exact"/>
        <w:rPr>
          <w:rFonts w:ascii="Times New Roman" w:cs="Times New Roman" w:eastAsia="Times New Roman" w:hAnsi="Times New Roman"/>
          <w:sz w:val="20"/>
          <w:szCs w:val="20"/>
          <w:color w:val="auto"/>
        </w:rPr>
      </w:pPr>
    </w:p>
    <w:p>
      <w:pPr>
        <w:ind w:left="648" w:hanging="324"/>
        <w:spacing w:after="0"/>
        <w:tabs>
          <w:tab w:leader="none" w:pos="64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Indemnification; Indemnification as a Witness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968" w:hanging="320"/>
        <w:spacing w:after="0" w:line="253" w:lineRule="auto"/>
        <w:tabs>
          <w:tab w:leader="none" w:pos="96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Section 3 to the fullest extent allowable by law, and no Standard of Conduct Determination (as defined in Section 9(b)) shall be required.</w:t>
      </w:r>
    </w:p>
    <w:p>
      <w:pPr>
        <w:spacing w:after="0" w:line="191" w:lineRule="exact"/>
        <w:rPr>
          <w:rFonts w:ascii="Times New Roman" w:cs="Times New Roman" w:eastAsia="Times New Roman" w:hAnsi="Times New Roman"/>
          <w:sz w:val="20"/>
          <w:szCs w:val="20"/>
          <w:color w:val="auto"/>
        </w:rPr>
      </w:pPr>
    </w:p>
    <w:p>
      <w:pPr>
        <w:jc w:val="both"/>
        <w:ind w:left="968" w:hanging="320"/>
        <w:spacing w:after="0" w:line="261" w:lineRule="auto"/>
        <w:tabs>
          <w:tab w:leader="none" w:pos="967"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Section 9(b)) shall be required.</w:t>
      </w:r>
    </w:p>
    <w:p>
      <w:pPr>
        <w:sectPr>
          <w:pgSz w:w="11900" w:h="16838" w:orient="portrait"/>
          <w:cols w:equalWidth="0" w:num="1">
            <w:col w:w="10908"/>
          </w:cols>
          <w:pgMar w:left="652" w:top="1440" w:right="339" w:bottom="1440" w:gutter="0" w:footer="0" w:header="0"/>
        </w:sectPr>
      </w:pPr>
    </w:p>
    <w:bookmarkStart w:id="42" w:name="page43"/>
    <w:bookmarkEnd w:id="42"/>
    <w:p>
      <w:pPr>
        <w:spacing w:after="0" w:line="122" w:lineRule="exact"/>
        <w:rPr>
          <w:sz w:val="20"/>
          <w:szCs w:val="20"/>
          <w:color w:val="auto"/>
        </w:rPr>
      </w:pPr>
    </w:p>
    <w:p>
      <w:pPr>
        <w:jc w:val="both"/>
        <w:ind w:left="324" w:hanging="324"/>
        <w:spacing w:after="0" w:line="253" w:lineRule="auto"/>
        <w:tabs>
          <w:tab w:leader="none" w:pos="31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Standard of Conduct</w:t>
      </w:r>
      <w:r>
        <w:rPr>
          <w:rFonts w:ascii="Times New Roman" w:cs="Times New Roman" w:eastAsia="Times New Roman" w:hAnsi="Times New Roman"/>
          <w:sz w:val="20"/>
          <w:szCs w:val="20"/>
          <w:color w:val="auto"/>
        </w:rPr>
        <w:t>. To the extent that the provisions of Section 9(a)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20"/>
          <w:szCs w:val="20"/>
          <w:b w:val="1"/>
          <w:bCs w:val="1"/>
          <w:color w:val="auto"/>
        </w:rPr>
        <w:t>Standard of Conduct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Determination</w:t>
      </w:r>
      <w:r>
        <w:rPr>
          <w:rFonts w:ascii="Times New Roman" w:cs="Times New Roman" w:eastAsia="Times New Roman" w:hAnsi="Times New Roman"/>
          <w:sz w:val="20"/>
          <w:szCs w:val="20"/>
          <w:color w:val="auto"/>
        </w:rPr>
        <w:t>”) shall be made as follows:</w:t>
      </w:r>
    </w:p>
    <w:p>
      <w:pPr>
        <w:spacing w:after="0" w:line="191" w:lineRule="exact"/>
        <w:rPr>
          <w:rFonts w:ascii="Times New Roman" w:cs="Times New Roman" w:eastAsia="Times New Roman" w:hAnsi="Times New Roman"/>
          <w:sz w:val="20"/>
          <w:szCs w:val="20"/>
          <w:color w:val="auto"/>
        </w:rPr>
      </w:pPr>
    </w:p>
    <w:p>
      <w:pPr>
        <w:ind w:left="644" w:hanging="320"/>
        <w:spacing w:after="0"/>
        <w:tabs>
          <w:tab w:leader="none" w:pos="64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 majority vote of a quorum of the Disinterested Directors;</w:t>
      </w:r>
    </w:p>
    <w:p>
      <w:pPr>
        <w:spacing w:after="0" w:line="215" w:lineRule="exact"/>
        <w:rPr>
          <w:rFonts w:ascii="Times New Roman" w:cs="Times New Roman" w:eastAsia="Times New Roman" w:hAnsi="Times New Roman"/>
          <w:sz w:val="20"/>
          <w:szCs w:val="20"/>
          <w:color w:val="auto"/>
        </w:rPr>
      </w:pPr>
    </w:p>
    <w:p>
      <w:pPr>
        <w:ind w:left="644" w:hanging="320"/>
        <w:spacing w:after="0" w:line="283" w:lineRule="auto"/>
        <w:tabs>
          <w:tab w:leader="none" w:pos="64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 quorum is not obtainable, or even if a quorum of Disinterested Directors so directs, by Independent Counsel in a written opinion to the Board; or</w:t>
      </w:r>
    </w:p>
    <w:p>
      <w:pPr>
        <w:spacing w:after="0" w:line="146" w:lineRule="exact"/>
        <w:rPr>
          <w:rFonts w:ascii="Times New Roman" w:cs="Times New Roman" w:eastAsia="Times New Roman" w:hAnsi="Times New Roman"/>
          <w:sz w:val="20"/>
          <w:szCs w:val="20"/>
          <w:color w:val="auto"/>
        </w:rPr>
      </w:pPr>
    </w:p>
    <w:p>
      <w:pPr>
        <w:ind w:left="644" w:hanging="320"/>
        <w:spacing w:after="0"/>
        <w:tabs>
          <w:tab w:leader="none" w:pos="64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stockholders of the Company.</w:t>
      </w:r>
    </w:p>
    <w:p>
      <w:pPr>
        <w:spacing w:after="0" w:line="229" w:lineRule="exact"/>
        <w:rPr>
          <w:sz w:val="20"/>
          <w:szCs w:val="20"/>
          <w:color w:val="auto"/>
        </w:rPr>
      </w:pPr>
    </w:p>
    <w:p>
      <w:pPr>
        <w:jc w:val="both"/>
        <w:ind w:left="964"/>
        <w:spacing w:after="0" w:line="261" w:lineRule="auto"/>
        <w:rPr>
          <w:sz w:val="20"/>
          <w:szCs w:val="20"/>
          <w:color w:val="auto"/>
        </w:rPr>
      </w:pPr>
      <w:r>
        <w:rPr>
          <w:rFonts w:ascii="Times New Roman" w:cs="Times New Roman" w:eastAsia="Times New Roman" w:hAnsi="Times New Roman"/>
          <w:sz w:val="20"/>
          <w:szCs w:val="20"/>
          <w:color w:val="auto"/>
        </w:rPr>
        <w:t>The Company shall indemnify and hold harmless Indemnitee against and, if requested by Indemnitee, shall reimburse Indemnitee for, or advance to Indemnitee, within 30 days of such request, any and all Expenses incurred by Indemnitee in cooperating with the person or persons making such Standard of Conduct Determination.</w:t>
      </w:r>
    </w:p>
    <w:p>
      <w:pPr>
        <w:spacing w:after="0" w:line="181" w:lineRule="exact"/>
        <w:rPr>
          <w:sz w:val="20"/>
          <w:szCs w:val="20"/>
          <w:color w:val="auto"/>
        </w:rPr>
      </w:pPr>
    </w:p>
    <w:p>
      <w:pPr>
        <w:jc w:val="both"/>
        <w:ind w:left="324" w:hanging="324"/>
        <w:spacing w:after="0" w:line="250" w:lineRule="auto"/>
        <w:tabs>
          <w:tab w:leader="none" w:pos="31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the Standard of Conduct Determination</w:t>
      </w:r>
      <w:r>
        <w:rPr>
          <w:rFonts w:ascii="Times New Roman" w:cs="Times New Roman" w:eastAsia="Times New Roman" w:hAnsi="Times New Roman"/>
          <w:sz w:val="20"/>
          <w:szCs w:val="20"/>
          <w:color w:val="auto"/>
        </w:rPr>
        <w:t>. The Company shall use its reasonable efforts to cause any Standard of Conduct Determination required under Section 9(b) to be made as promptly as practicable. If the person or persons designated to make the Standard of Conduct Determination under Section 9(b) shall not have made a determination within 30 days after the later of (A) receipt by the Company of a written request from Indemnitee for indemnification pursuant to Section 8 (the date of such receipt being the “</w:t>
      </w:r>
      <w:r>
        <w:rPr>
          <w:rFonts w:ascii="Times New Roman" w:cs="Times New Roman" w:eastAsia="Times New Roman" w:hAnsi="Times New Roman"/>
          <w:sz w:val="20"/>
          <w:szCs w:val="20"/>
          <w:b w:val="1"/>
          <w:bCs w:val="1"/>
          <w:color w:val="auto"/>
        </w:rPr>
        <w:t>Notification Date</w:t>
      </w:r>
      <w:r>
        <w:rPr>
          <w:rFonts w:ascii="Times New Roman" w:cs="Times New Roman" w:eastAsia="Times New Roman" w:hAnsi="Times New Roman"/>
          <w:sz w:val="20"/>
          <w:szCs w:val="20"/>
          <w:color w:val="auto"/>
        </w:rPr>
        <w:t>”) and (B) the selection of an Independent Counsel, if such determination is to be made by Independent Counsel, then Indemnitee shall be deemed to have satisfied the applicable standard of conduct; provided that such 30-day period may be extended,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96"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Indemnification</w:t>
      </w:r>
      <w:r>
        <w:rPr>
          <w:rFonts w:ascii="Times New Roman" w:cs="Times New Roman" w:eastAsia="Times New Roman" w:hAnsi="Times New Roman"/>
          <w:sz w:val="20"/>
          <w:szCs w:val="20"/>
          <w:color w:val="auto"/>
        </w:rPr>
        <w:t>. If, in regard to any Losses:</w:t>
      </w:r>
    </w:p>
    <w:p>
      <w:pPr>
        <w:spacing w:after="0" w:line="215" w:lineRule="exact"/>
        <w:rPr>
          <w:rFonts w:ascii="Times New Roman" w:cs="Times New Roman" w:eastAsia="Times New Roman" w:hAnsi="Times New Roman"/>
          <w:sz w:val="20"/>
          <w:szCs w:val="20"/>
          <w:color w:val="auto"/>
        </w:rPr>
      </w:pPr>
    </w:p>
    <w:p>
      <w:pPr>
        <w:ind w:left="644" w:hanging="320"/>
        <w:spacing w:after="0"/>
        <w:tabs>
          <w:tab w:leader="none" w:pos="64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be entitled to indemnification pursuant to Section 9(a);</w:t>
      </w:r>
    </w:p>
    <w:p>
      <w:pPr>
        <w:spacing w:after="0" w:line="229" w:lineRule="exact"/>
        <w:rPr>
          <w:rFonts w:ascii="Times New Roman" w:cs="Times New Roman" w:eastAsia="Times New Roman" w:hAnsi="Times New Roman"/>
          <w:sz w:val="20"/>
          <w:szCs w:val="20"/>
          <w:color w:val="auto"/>
        </w:rPr>
      </w:pPr>
    </w:p>
    <w:p>
      <w:pPr>
        <w:ind w:left="644" w:hanging="320"/>
        <w:spacing w:after="0"/>
        <w:tabs>
          <w:tab w:leader="none" w:pos="64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Standard Conduct Determination is legally required as a condition to indemnification of Indemnitee hereunder; or</w:t>
      </w:r>
    </w:p>
    <w:p>
      <w:pPr>
        <w:spacing w:after="0" w:line="229" w:lineRule="exact"/>
        <w:rPr>
          <w:rFonts w:ascii="Times New Roman" w:cs="Times New Roman" w:eastAsia="Times New Roman" w:hAnsi="Times New Roman"/>
          <w:sz w:val="20"/>
          <w:szCs w:val="20"/>
          <w:color w:val="auto"/>
        </w:rPr>
      </w:pPr>
    </w:p>
    <w:p>
      <w:pPr>
        <w:ind w:left="644" w:hanging="320"/>
        <w:spacing w:after="0" w:line="269" w:lineRule="auto"/>
        <w:tabs>
          <w:tab w:leader="none" w:pos="64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has been determined or deemed pursuant to Section 9(b) or Section 9(c) to have satisfied the Standard of Conduct Determination,</w:t>
      </w:r>
    </w:p>
    <w:p>
      <w:pPr>
        <w:spacing w:after="0" w:line="173" w:lineRule="exact"/>
        <w:rPr>
          <w:sz w:val="20"/>
          <w:szCs w:val="20"/>
          <w:color w:val="auto"/>
        </w:rPr>
      </w:pPr>
    </w:p>
    <w:p>
      <w:pPr>
        <w:ind w:left="964"/>
        <w:spacing w:after="0" w:line="295" w:lineRule="auto"/>
        <w:rPr>
          <w:sz w:val="20"/>
          <w:szCs w:val="20"/>
          <w:color w:val="auto"/>
        </w:rPr>
      </w:pPr>
      <w:r>
        <w:rPr>
          <w:rFonts w:ascii="Times New Roman" w:cs="Times New Roman" w:eastAsia="Times New Roman" w:hAnsi="Times New Roman"/>
          <w:sz w:val="19"/>
          <w:szCs w:val="19"/>
          <w:color w:val="auto"/>
        </w:rPr>
        <w:t>then the Company shall pay to Indemnitee, within five days after the later of (A) the Notification Date or (B) the earliest date on which the applicable criterion specified in clause (i), (ii) or (iii) is satisfied, an amount equal to such Losses.</w:t>
      </w:r>
    </w:p>
    <w:p>
      <w:pPr>
        <w:sectPr>
          <w:pgSz w:w="11900" w:h="16838" w:orient="portrait"/>
          <w:cols w:equalWidth="0" w:num="1">
            <w:col w:w="10584"/>
          </w:cols>
          <w:pgMar w:left="976" w:top="1440" w:right="339" w:bottom="1440" w:gutter="0" w:footer="0" w:header="0"/>
        </w:sectPr>
      </w:pPr>
    </w:p>
    <w:bookmarkStart w:id="43" w:name="page44"/>
    <w:bookmarkEnd w:id="43"/>
    <w:p>
      <w:pPr>
        <w:spacing w:after="0" w:line="122" w:lineRule="exact"/>
        <w:rPr>
          <w:sz w:val="20"/>
          <w:szCs w:val="20"/>
          <w:color w:val="auto"/>
        </w:rPr>
      </w:pPr>
    </w:p>
    <w:p>
      <w:pPr>
        <w:jc w:val="both"/>
        <w:ind w:left="324" w:hanging="324"/>
        <w:spacing w:after="0" w:line="249" w:lineRule="auto"/>
        <w:tabs>
          <w:tab w:leader="none" w:pos="31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Independent Counsel for Standard of Conduct Determination</w:t>
      </w:r>
      <w:r>
        <w:rPr>
          <w:rFonts w:ascii="Times New Roman" w:cs="Times New Roman" w:eastAsia="Times New Roman" w:hAnsi="Times New Roman"/>
          <w:sz w:val="20"/>
          <w:szCs w:val="20"/>
          <w:color w:val="auto"/>
        </w:rPr>
        <w:t>. If a Standard of Conduct Determination is to be made by Independent Counsel pursuant to Section 9(b)(i), the Independent Counsel shall be selected by the Board of Directors, and the Company shall give written notice to Indemnitee advising [him/her] of the identity of the Independent Counsel so selected. If a Standard of Conduct Determination is to be made by Independent Counsel pursuant to Section 9(b)(ii), the Independent Counsel shall be selected by Indemnitee, and Indemnitee shall give written notice to the Company advising it of the identity of the Independent Counsel so selected. In either case, Indemnitee or the Company, as applicable, may, within five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1(e),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9(e) to make the Standard of Conduct Determination shall have been selected within 20 days after the Company gives its initial notice pursuant to the first sentence of this Section 9(e) or Indemnitee gives its initial notice pursuant to the second sentence of this Section 9(e), as the case may be, either the Company or Indemnitee may petition the Court of Chancery of the State of Delaware (“</w:t>
      </w:r>
      <w:r>
        <w:rPr>
          <w:rFonts w:ascii="Times New Roman" w:cs="Times New Roman" w:eastAsia="Times New Roman" w:hAnsi="Times New Roman"/>
          <w:sz w:val="20"/>
          <w:szCs w:val="20"/>
          <w:b w:val="1"/>
          <w:bCs w:val="1"/>
          <w:color w:val="auto"/>
        </w:rPr>
        <w:t>Delaware Court</w:t>
      </w:r>
      <w:r>
        <w:rPr>
          <w:rFonts w:ascii="Times New Roman" w:cs="Times New Roman" w:eastAsia="Times New Roman" w:hAnsi="Times New Roman"/>
          <w:sz w:val="20"/>
          <w:szCs w:val="20"/>
          <w:color w:val="auto"/>
        </w:rPr>
        <w:t>”) to resolve any objection which shall have been made by the Company or Indemnitee to the other’s selection of Independent Counsel and/or to appoint as Independent Counsel a person to be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9(b).</w:t>
      </w:r>
    </w:p>
    <w:p>
      <w:pPr>
        <w:spacing w:after="0" w:line="181" w:lineRule="exact"/>
        <w:rPr>
          <w:rFonts w:ascii="Times New Roman" w:cs="Times New Roman" w:eastAsia="Times New Roman" w:hAnsi="Times New Roman"/>
          <w:sz w:val="20"/>
          <w:szCs w:val="20"/>
          <w:color w:val="auto"/>
        </w:rPr>
      </w:pPr>
    </w:p>
    <w:p>
      <w:pPr>
        <w:ind w:left="324" w:hanging="324"/>
        <w:spacing w:after="0"/>
        <w:tabs>
          <w:tab w:leader="none" w:pos="3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and Defenses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4" w:hanging="320"/>
        <w:spacing w:after="0" w:line="253" w:lineRule="auto"/>
        <w:tabs>
          <w:tab w:leader="none" w:pos="64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Indemnitee’s Entitlement to Indemnification</w:t>
      </w:r>
      <w:r>
        <w:rPr>
          <w:rFonts w:ascii="Times New Roman" w:cs="Times New Roman" w:eastAsia="Times New Roman" w:hAnsi="Times New Roman"/>
          <w:sz w:val="20"/>
          <w:szCs w:val="20"/>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w:t>
      </w:r>
    </w:p>
    <w:p>
      <w:pPr>
        <w:sectPr>
          <w:pgSz w:w="11900" w:h="16838" w:orient="portrait"/>
          <w:cols w:equalWidth="0" w:num="1">
            <w:col w:w="10584"/>
          </w:cols>
          <w:pgMar w:left="976" w:top="1440" w:right="339" w:bottom="1440" w:gutter="0" w:footer="0" w:header="0"/>
        </w:sectPr>
      </w:pPr>
    </w:p>
    <w:bookmarkStart w:id="44" w:name="page45"/>
    <w:bookmarkEnd w:id="44"/>
    <w:p>
      <w:pPr>
        <w:spacing w:after="0" w:line="122" w:lineRule="exact"/>
        <w:rPr>
          <w:sz w:val="20"/>
          <w:szCs w:val="20"/>
          <w:color w:val="auto"/>
        </w:rPr>
      </w:pPr>
    </w:p>
    <w:p>
      <w:pPr>
        <w:jc w:val="both"/>
        <w:ind w:left="968" w:hanging="320"/>
        <w:spacing w:after="0" w:line="250" w:lineRule="auto"/>
        <w:tabs>
          <w:tab w:leader="none" w:pos="967"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as a Safe Harbor</w:t>
      </w:r>
      <w:r>
        <w:rPr>
          <w:rFonts w:ascii="Times New Roman" w:cs="Times New Roman" w:eastAsia="Times New Roman" w:hAnsi="Times New Roman"/>
          <w:sz w:val="20"/>
          <w:szCs w:val="20"/>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96" w:lineRule="exact"/>
        <w:rPr>
          <w:rFonts w:ascii="Times New Roman" w:cs="Times New Roman" w:eastAsia="Times New Roman" w:hAnsi="Times New Roman"/>
          <w:sz w:val="20"/>
          <w:szCs w:val="20"/>
          <w:color w:val="auto"/>
        </w:rPr>
      </w:pPr>
    </w:p>
    <w:p>
      <w:pPr>
        <w:jc w:val="both"/>
        <w:ind w:left="968" w:hanging="320"/>
        <w:spacing w:after="0" w:line="254" w:lineRule="auto"/>
        <w:tabs>
          <w:tab w:leader="none" w:pos="968"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Presumptions</w:t>
      </w:r>
      <w:r>
        <w:rPr>
          <w:rFonts w:ascii="Times New Roman" w:cs="Times New Roman" w:eastAsia="Times New Roman" w:hAnsi="Times New Roman"/>
          <w:sz w:val="20"/>
          <w:szCs w:val="20"/>
          <w:color w:val="auto"/>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187" w:lineRule="exact"/>
        <w:rPr>
          <w:rFonts w:ascii="Times New Roman" w:cs="Times New Roman" w:eastAsia="Times New Roman" w:hAnsi="Times New Roman"/>
          <w:sz w:val="20"/>
          <w:szCs w:val="20"/>
          <w:color w:val="auto"/>
        </w:rPr>
      </w:pPr>
    </w:p>
    <w:p>
      <w:pPr>
        <w:jc w:val="both"/>
        <w:ind w:left="968" w:hanging="320"/>
        <w:spacing w:after="0" w:line="253" w:lineRule="auto"/>
        <w:tabs>
          <w:tab w:leader="none" w:pos="957"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Defense to Indemnification and Burden of Proof</w:t>
      </w:r>
      <w:r>
        <w:rPr>
          <w:rFonts w:ascii="Times New Roman" w:cs="Times New Roman" w:eastAsia="Times New Roman" w:hAnsi="Times New Roman"/>
          <w:sz w:val="20"/>
          <w:szCs w:val="20"/>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192" w:lineRule="exact"/>
        <w:rPr>
          <w:rFonts w:ascii="Times New Roman" w:cs="Times New Roman" w:eastAsia="Times New Roman" w:hAnsi="Times New Roman"/>
          <w:sz w:val="20"/>
          <w:szCs w:val="20"/>
          <w:color w:val="auto"/>
        </w:rPr>
      </w:pPr>
    </w:p>
    <w:p>
      <w:pPr>
        <w:jc w:val="both"/>
        <w:ind w:left="968" w:hanging="320"/>
        <w:spacing w:after="0" w:line="251" w:lineRule="auto"/>
        <w:tabs>
          <w:tab w:leader="none" w:pos="956"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Resolution of Claims</w:t>
      </w:r>
      <w:r>
        <w:rPr>
          <w:rFonts w:ascii="Times New Roman" w:cs="Times New Roman" w:eastAsia="Times New Roman" w:hAnsi="Times New Roman"/>
          <w:sz w:val="20"/>
          <w:szCs w:val="20"/>
          <w:color w:val="auto"/>
        </w:rPr>
        <w:t>. The Company acknowledges that a settlement or other disposition short of final judgment may be successful on the merits or otherwise for purposes of Section 9(a)(i)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Section 9(a)(i). The Company shall have the burden of proof to overcome this presumption.</w:t>
      </w:r>
    </w:p>
    <w:p>
      <w:pPr>
        <w:spacing w:after="0" w:line="192" w:lineRule="exact"/>
        <w:rPr>
          <w:rFonts w:ascii="Times New Roman" w:cs="Times New Roman" w:eastAsia="Times New Roman" w:hAnsi="Times New Roman"/>
          <w:sz w:val="20"/>
          <w:szCs w:val="20"/>
          <w:color w:val="auto"/>
        </w:rPr>
      </w:pPr>
    </w:p>
    <w:p>
      <w:pPr>
        <w:ind w:left="328" w:hanging="328"/>
        <w:spacing w:after="0" w:line="269" w:lineRule="auto"/>
        <w:tabs>
          <w:tab w:leader="none" w:pos="32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Exclusions from Indemnification</w:t>
      </w:r>
      <w:r>
        <w:rPr>
          <w:rFonts w:ascii="Times New Roman" w:cs="Times New Roman" w:eastAsia="Times New Roman" w:hAnsi="Times New Roman"/>
          <w:sz w:val="20"/>
          <w:szCs w:val="20"/>
          <w:color w:val="auto"/>
        </w:rPr>
        <w:t>. Notwithstanding anything in this Agreement to the contrary, the Company shall not be obligated to:</w:t>
      </w:r>
    </w:p>
    <w:p>
      <w:pPr>
        <w:spacing w:after="0" w:line="172" w:lineRule="exact"/>
        <w:rPr>
          <w:rFonts w:ascii="Times New Roman" w:cs="Times New Roman" w:eastAsia="Times New Roman" w:hAnsi="Times New Roman"/>
          <w:sz w:val="20"/>
          <w:szCs w:val="20"/>
          <w:color w:val="auto"/>
        </w:rPr>
      </w:pPr>
    </w:p>
    <w:p>
      <w:pPr>
        <w:jc w:val="both"/>
        <w:ind w:left="648" w:hanging="324"/>
        <w:spacing w:after="0" w:line="261" w:lineRule="auto"/>
        <w:tabs>
          <w:tab w:leader="none" w:pos="6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ectPr>
          <w:pgSz w:w="11900" w:h="16838" w:orient="portrait"/>
          <w:cols w:equalWidth="0" w:num="1">
            <w:col w:w="10908"/>
          </w:cols>
          <w:pgMar w:left="652" w:top="1440" w:right="339" w:bottom="1440" w:gutter="0" w:footer="0" w:header="0"/>
        </w:sectPr>
      </w:pPr>
    </w:p>
    <w:bookmarkStart w:id="45" w:name="page46"/>
    <w:bookmarkEnd w:id="45"/>
    <w:p>
      <w:pPr>
        <w:spacing w:after="0" w:line="122" w:lineRule="exact"/>
        <w:rPr>
          <w:sz w:val="20"/>
          <w:szCs w:val="20"/>
          <w:color w:val="auto"/>
        </w:rPr>
      </w:pPr>
    </w:p>
    <w:p>
      <w:pPr>
        <w:ind w:left="968" w:hanging="320"/>
        <w:spacing w:after="0" w:line="269" w:lineRule="auto"/>
        <w:tabs>
          <w:tab w:leader="none" w:pos="966"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proceedings referenced in Section 5 above (unless a court of competent jurisdiction determines that each of the material assertions made by Indemnitee in such proceeding was not made in good faith or was frivolous); or</w:t>
      </w:r>
    </w:p>
    <w:p>
      <w:pPr>
        <w:spacing w:after="0" w:line="172" w:lineRule="exact"/>
        <w:rPr>
          <w:rFonts w:ascii="Times New Roman" w:cs="Times New Roman" w:eastAsia="Times New Roman" w:hAnsi="Times New Roman"/>
          <w:sz w:val="20"/>
          <w:szCs w:val="20"/>
          <w:color w:val="auto"/>
        </w:rPr>
      </w:pPr>
    </w:p>
    <w:p>
      <w:pPr>
        <w:ind w:left="968" w:hanging="320"/>
        <w:spacing w:after="0"/>
        <w:tabs>
          <w:tab w:leader="none" w:pos="968"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Company has joined in or the Board has consented to the initiation of such proceedings.</w:t>
      </w:r>
    </w:p>
    <w:p>
      <w:pPr>
        <w:spacing w:after="0" w:line="215" w:lineRule="exact"/>
        <w:rPr>
          <w:rFonts w:ascii="Times New Roman" w:cs="Times New Roman" w:eastAsia="Times New Roman" w:hAnsi="Times New Roman"/>
          <w:sz w:val="20"/>
          <w:szCs w:val="20"/>
          <w:color w:val="auto"/>
        </w:rPr>
      </w:pPr>
    </w:p>
    <w:p>
      <w:pPr>
        <w:jc w:val="both"/>
        <w:ind w:left="648" w:hanging="324"/>
        <w:spacing w:after="0" w:line="268" w:lineRule="auto"/>
        <w:tabs>
          <w:tab w:leader="none" w:pos="63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indemnify Indemnitee for funds that have actually been made to or on behalf of Indemnitee under any insurance policy or other indemnity provision, except with respect to excess beyond the amount paid under any insurance policy or other indemnity provision.</w:t>
      </w:r>
    </w:p>
    <w:p>
      <w:pPr>
        <w:spacing w:after="0" w:line="161" w:lineRule="exact"/>
        <w:rPr>
          <w:rFonts w:ascii="Times New Roman" w:cs="Times New Roman" w:eastAsia="Times New Roman" w:hAnsi="Times New Roman"/>
          <w:sz w:val="20"/>
          <w:szCs w:val="20"/>
          <w:color w:val="auto"/>
        </w:rPr>
      </w:pPr>
    </w:p>
    <w:p>
      <w:pPr>
        <w:ind w:left="648" w:right="20" w:hanging="324"/>
        <w:spacing w:after="0" w:line="283" w:lineRule="auto"/>
        <w:tabs>
          <w:tab w:leader="none" w:pos="6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indemnify Indemnitee if a final decision by a court of competent jurisdiction determines that such indemnification is prohibited by applicable law.</w:t>
      </w:r>
    </w:p>
    <w:p>
      <w:pPr>
        <w:spacing w:after="0" w:line="146" w:lineRule="exact"/>
        <w:rPr>
          <w:rFonts w:ascii="Times New Roman" w:cs="Times New Roman" w:eastAsia="Times New Roman" w:hAnsi="Times New Roman"/>
          <w:sz w:val="20"/>
          <w:szCs w:val="20"/>
          <w:color w:val="auto"/>
        </w:rPr>
      </w:pPr>
    </w:p>
    <w:p>
      <w:pPr>
        <w:ind w:left="648" w:hanging="324"/>
        <w:spacing w:after="0" w:line="283" w:lineRule="auto"/>
        <w:tabs>
          <w:tab w:leader="none" w:pos="63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indemnify Indemnitee for the disgorgement of profits arising from the purchase or sale by Indemnitee of securities of the Company in violation of Section 16(b) of the Exchange Act, or any similar successor statute.</w:t>
      </w:r>
    </w:p>
    <w:p>
      <w:pPr>
        <w:spacing w:after="0" w:line="159" w:lineRule="exact"/>
        <w:rPr>
          <w:rFonts w:ascii="Times New Roman" w:cs="Times New Roman" w:eastAsia="Times New Roman" w:hAnsi="Times New Roman"/>
          <w:sz w:val="20"/>
          <w:szCs w:val="20"/>
          <w:color w:val="auto"/>
        </w:rPr>
      </w:pPr>
    </w:p>
    <w:p>
      <w:pPr>
        <w:jc w:val="both"/>
        <w:ind w:left="648" w:hanging="324"/>
        <w:spacing w:after="0" w:line="251" w:lineRule="auto"/>
        <w:tabs>
          <w:tab w:leader="none" w:pos="6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 or pursuant to any clawback or similar policy adopted by the Company, including pursuant to the Exchange Act or any stock exchange rules applicable to the Company.</w:t>
      </w:r>
    </w:p>
    <w:p>
      <w:pPr>
        <w:spacing w:after="0" w:line="192"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1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Claims</w:t>
      </w:r>
      <w:r>
        <w:rPr>
          <w:rFonts w:ascii="Times New Roman" w:cs="Times New Roman" w:eastAsia="Times New Roman" w:hAnsi="Times New Roman"/>
          <w:sz w:val="20"/>
          <w:szCs w:val="20"/>
          <w:color w:val="auto"/>
        </w:rPr>
        <w:t>. The Company shall not be liable to Indemnitee under this Agreement for any amounts paid in settlement of any threatened or pending Claim related to an Indemnifiable Event effected without the Company’s prior written consent;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Losses on the Indemnitee without the Indemnitee’s prior written consent, which shall not be unreasonably withheld.</w:t>
      </w:r>
    </w:p>
    <w:p>
      <w:pPr>
        <w:spacing w:after="0" w:line="178"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2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ectPr>
          <w:pgSz w:w="11900" w:h="16838" w:orient="portrait"/>
          <w:cols w:equalWidth="0" w:num="1">
            <w:col w:w="10908"/>
          </w:cols>
          <w:pgMar w:left="652" w:top="1440" w:right="339" w:bottom="1440" w:gutter="0" w:footer="0" w:header="0"/>
        </w:sectPr>
      </w:pPr>
    </w:p>
    <w:bookmarkStart w:id="46" w:name="page47"/>
    <w:bookmarkEnd w:id="46"/>
    <w:p>
      <w:pPr>
        <w:spacing w:after="0" w:line="122" w:lineRule="exact"/>
        <w:rPr>
          <w:sz w:val="20"/>
          <w:szCs w:val="20"/>
          <w:color w:val="auto"/>
        </w:rPr>
      </w:pPr>
    </w:p>
    <w:p>
      <w:pPr>
        <w:jc w:val="both"/>
        <w:ind w:left="328" w:hanging="328"/>
        <w:spacing w:after="0" w:line="253" w:lineRule="auto"/>
        <w:tabs>
          <w:tab w:leader="none" w:pos="3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w:t>
      </w:r>
      <w:r>
        <w:rPr>
          <w:rFonts w:ascii="Times New Roman" w:cs="Times New Roman" w:eastAsia="Times New Roman" w:hAnsi="Times New Roman"/>
          <w:sz w:val="20"/>
          <w:szCs w:val="20"/>
          <w:color w:val="auto"/>
        </w:rPr>
        <w:t>. The rights of Indemnitee hereunder will be in addition to any other rights Indemnitee may have under the Constituent Documents, the General Corporation Law of the State of Delaware, any other contract or otherwise (collectively, “</w:t>
      </w: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Indemnity Provisions</w:t>
      </w:r>
      <w:r>
        <w:rPr>
          <w:rFonts w:ascii="Times New Roman" w:cs="Times New Roman" w:eastAsia="Times New Roman" w:hAnsi="Times New Roman"/>
          <w:sz w:val="20"/>
          <w:szCs w:val="20"/>
          <w:color w:val="auto"/>
        </w:rPr>
        <w:t>”); provided, however, that (a) to the extent that Indemnitee otherwise would have any greater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w:t>
      </w:r>
    </w:p>
    <w:p>
      <w:pPr>
        <w:spacing w:after="0" w:line="178" w:lineRule="exact"/>
        <w:rPr>
          <w:rFonts w:ascii="Times New Roman" w:cs="Times New Roman" w:eastAsia="Times New Roman" w:hAnsi="Times New Roman"/>
          <w:sz w:val="20"/>
          <w:szCs w:val="20"/>
          <w:color w:val="auto"/>
        </w:rPr>
      </w:pPr>
    </w:p>
    <w:p>
      <w:pPr>
        <w:jc w:val="both"/>
        <w:ind w:left="328" w:hanging="328"/>
        <w:spacing w:after="0" w:line="251" w:lineRule="auto"/>
        <w:tabs>
          <w:tab w:leader="none" w:pos="3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Insurance</w:t>
      </w:r>
      <w:r>
        <w:rPr>
          <w:rFonts w:ascii="Times New Roman" w:cs="Times New Roman" w:eastAsia="Times New Roman" w:hAnsi="Times New Roman"/>
          <w:sz w:val="20"/>
          <w:szCs w:val="20"/>
          <w:color w:val="auto"/>
        </w:rPr>
        <w:t>. For the duration of Indemnitee’s service as a [director/officer]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w:t>
      </w:r>
    </w:p>
    <w:p>
      <w:pPr>
        <w:spacing w:after="0" w:line="195" w:lineRule="exact"/>
        <w:rPr>
          <w:rFonts w:ascii="Times New Roman" w:cs="Times New Roman" w:eastAsia="Times New Roman" w:hAnsi="Times New Roman"/>
          <w:sz w:val="20"/>
          <w:szCs w:val="20"/>
          <w:color w:val="auto"/>
        </w:rPr>
      </w:pPr>
    </w:p>
    <w:p>
      <w:pPr>
        <w:jc w:val="both"/>
        <w:ind w:left="328" w:hanging="328"/>
        <w:spacing w:after="0" w:line="261" w:lineRule="auto"/>
        <w:tabs>
          <w:tab w:leader="none" w:pos="3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Duplication of Payments</w:t>
      </w:r>
      <w:r>
        <w:rPr>
          <w:rFonts w:ascii="Times New Roman" w:cs="Times New Roman" w:eastAsia="Times New Roman" w:hAnsi="Times New Roman"/>
          <w:sz w:val="20"/>
          <w:szCs w:val="20"/>
          <w:color w:val="auto"/>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spacing w:after="0" w:line="181" w:lineRule="exact"/>
        <w:rPr>
          <w:rFonts w:ascii="Times New Roman" w:cs="Times New Roman" w:eastAsia="Times New Roman" w:hAnsi="Times New Roman"/>
          <w:sz w:val="20"/>
          <w:szCs w:val="20"/>
          <w:color w:val="auto"/>
        </w:rPr>
      </w:pPr>
    </w:p>
    <w:p>
      <w:pPr>
        <w:jc w:val="both"/>
        <w:ind w:left="328" w:hanging="328"/>
        <w:spacing w:after="0" w:line="258" w:lineRule="auto"/>
        <w:tabs>
          <w:tab w:leader="none" w:pos="3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Subrogation</w:t>
      </w:r>
      <w:r>
        <w:rPr>
          <w:rFonts w:ascii="Times New Roman" w:cs="Times New Roman" w:eastAsia="Times New Roman" w:hAnsi="Times New Roman"/>
          <w:sz w:val="20"/>
          <w:szCs w:val="20"/>
          <w:color w:val="auto"/>
        </w:rPr>
        <w:t>. In the event of payment to Indemnitee under this Agreement, the 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spacing w:after="0" w:line="172" w:lineRule="exact"/>
        <w:rPr>
          <w:rFonts w:ascii="Times New Roman" w:cs="Times New Roman" w:eastAsia="Times New Roman" w:hAnsi="Times New Roman"/>
          <w:sz w:val="20"/>
          <w:szCs w:val="20"/>
          <w:color w:val="auto"/>
        </w:rPr>
      </w:pPr>
    </w:p>
    <w:p>
      <w:pPr>
        <w:jc w:val="both"/>
        <w:ind w:left="328" w:hanging="328"/>
        <w:spacing w:after="0" w:line="257" w:lineRule="auto"/>
        <w:tabs>
          <w:tab w:leader="none" w:pos="3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ectPr>
          <w:pgSz w:w="11900" w:h="16838" w:orient="portrait"/>
          <w:cols w:equalWidth="0" w:num="1">
            <w:col w:w="10908"/>
          </w:cols>
          <w:pgMar w:left="652" w:top="1440" w:right="339" w:bottom="1440" w:gutter="0" w:footer="0" w:header="0"/>
        </w:sectPr>
      </w:pPr>
    </w:p>
    <w:bookmarkStart w:id="47" w:name="page48"/>
    <w:bookmarkEnd w:id="47"/>
    <w:p>
      <w:pPr>
        <w:spacing w:after="0" w:line="122" w:lineRule="exact"/>
        <w:rPr>
          <w:sz w:val="20"/>
          <w:szCs w:val="20"/>
          <w:color w:val="auto"/>
        </w:rPr>
      </w:pPr>
    </w:p>
    <w:p>
      <w:pPr>
        <w:jc w:val="both"/>
        <w:ind w:left="328" w:hanging="328"/>
        <w:spacing w:after="0" w:line="251" w:lineRule="auto"/>
        <w:tabs>
          <w:tab w:leader="none" w:pos="32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192" w:lineRule="exact"/>
        <w:rPr>
          <w:rFonts w:ascii="Times New Roman" w:cs="Times New Roman" w:eastAsia="Times New Roman" w:hAnsi="Times New Roman"/>
          <w:sz w:val="20"/>
          <w:szCs w:val="20"/>
          <w:color w:val="auto"/>
        </w:rPr>
      </w:pPr>
    </w:p>
    <w:p>
      <w:pPr>
        <w:jc w:val="both"/>
        <w:ind w:left="328" w:hanging="328"/>
        <w:spacing w:after="0" w:line="253" w:lineRule="auto"/>
        <w:tabs>
          <w:tab w:leader="none" w:pos="32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8" w:lineRule="exact"/>
        <w:rPr>
          <w:rFonts w:ascii="Times New Roman" w:cs="Times New Roman" w:eastAsia="Times New Roman" w:hAnsi="Times New Roman"/>
          <w:sz w:val="20"/>
          <w:szCs w:val="20"/>
          <w:color w:val="auto"/>
        </w:rPr>
      </w:pPr>
    </w:p>
    <w:p>
      <w:pPr>
        <w:ind w:left="328" w:right="20" w:hanging="328"/>
        <w:spacing w:after="0" w:line="283" w:lineRule="auto"/>
        <w:tabs>
          <w:tab w:leader="none" w:pos="32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159" w:lineRule="exact"/>
        <w:rPr>
          <w:rFonts w:ascii="Times New Roman" w:cs="Times New Roman" w:eastAsia="Times New Roman" w:hAnsi="Times New Roman"/>
          <w:sz w:val="20"/>
          <w:szCs w:val="20"/>
          <w:color w:val="auto"/>
        </w:rPr>
      </w:pPr>
    </w:p>
    <w:p>
      <w:pPr>
        <w:ind w:left="648" w:hanging="324"/>
        <w:spacing w:after="0"/>
        <w:tabs>
          <w:tab w:leader="none" w:pos="64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Indemnitee, to the address set forth on the signature page hereto.</w:t>
      </w:r>
    </w:p>
    <w:p>
      <w:pPr>
        <w:spacing w:after="0" w:line="215" w:lineRule="exact"/>
        <w:rPr>
          <w:rFonts w:ascii="Times New Roman" w:cs="Times New Roman" w:eastAsia="Times New Roman" w:hAnsi="Times New Roman"/>
          <w:sz w:val="20"/>
          <w:szCs w:val="20"/>
          <w:color w:val="auto"/>
        </w:rPr>
      </w:pPr>
    </w:p>
    <w:p>
      <w:pPr>
        <w:ind w:left="628" w:hanging="304"/>
        <w:spacing w:after="0"/>
        <w:tabs>
          <w:tab w:leader="none" w:pos="62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CBIZ, Inc.</w:t>
      </w:r>
    </w:p>
    <w:p>
      <w:pPr>
        <w:spacing w:after="0" w:line="28"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20"/>
          <w:szCs w:val="20"/>
          <w:color w:val="auto"/>
        </w:rPr>
        <w:t>Attn: Chief Legal Officer</w:t>
      </w:r>
    </w:p>
    <w:p>
      <w:pPr>
        <w:spacing w:after="0" w:line="6"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20"/>
          <w:szCs w:val="20"/>
          <w:color w:val="auto"/>
        </w:rPr>
        <w:t>5959 Rockside Woods Blvd. N., Suite 600</w:t>
      </w:r>
    </w:p>
    <w:p>
      <w:pPr>
        <w:spacing w:after="0" w:line="6" w:lineRule="exact"/>
        <w:rPr>
          <w:sz w:val="20"/>
          <w:szCs w:val="20"/>
          <w:color w:val="auto"/>
        </w:rPr>
      </w:pPr>
    </w:p>
    <w:p>
      <w:pPr>
        <w:ind w:left="1808"/>
        <w:spacing w:after="0"/>
        <w:rPr>
          <w:sz w:val="20"/>
          <w:szCs w:val="20"/>
          <w:color w:val="auto"/>
        </w:rPr>
      </w:pPr>
      <w:r>
        <w:rPr>
          <w:rFonts w:ascii="Times New Roman" w:cs="Times New Roman" w:eastAsia="Times New Roman" w:hAnsi="Times New Roman"/>
          <w:sz w:val="20"/>
          <w:szCs w:val="20"/>
          <w:color w:val="auto"/>
        </w:rPr>
        <w:t>Independence, OH 44131</w:t>
      </w:r>
    </w:p>
    <w:p>
      <w:pPr>
        <w:spacing w:after="0" w:line="241" w:lineRule="exact"/>
        <w:rPr>
          <w:sz w:val="20"/>
          <w:szCs w:val="20"/>
          <w:color w:val="auto"/>
        </w:rPr>
      </w:pPr>
    </w:p>
    <w:p>
      <w:pPr>
        <w:ind w:left="328" w:hanging="328"/>
        <w:spacing w:after="0" w:line="269" w:lineRule="auto"/>
        <w:tabs>
          <w:tab w:leader="none" w:pos="32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ectPr>
          <w:pgSz w:w="11900" w:h="16838" w:orient="portrait"/>
          <w:cols w:equalWidth="0" w:num="1">
            <w:col w:w="10908"/>
          </w:cols>
          <w:pgMar w:left="652" w:top="1440" w:right="339" w:bottom="1440" w:gutter="0" w:footer="0" w:header="0"/>
        </w:sectPr>
      </w:pPr>
    </w:p>
    <w:bookmarkStart w:id="48" w:name="page49"/>
    <w:bookmarkEnd w:id="48"/>
    <w:p>
      <w:pPr>
        <w:spacing w:after="0" w:line="122" w:lineRule="exact"/>
        <w:rPr>
          <w:sz w:val="20"/>
          <w:szCs w:val="20"/>
          <w:color w:val="auto"/>
        </w:rPr>
      </w:pPr>
    </w:p>
    <w:p>
      <w:pPr>
        <w:jc w:val="both"/>
        <w:ind w:left="328" w:hanging="328"/>
        <w:spacing w:after="0" w:line="251"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Forum</w:t>
      </w:r>
      <w:r>
        <w:rPr>
          <w:rFonts w:ascii="Times New Roman" w:cs="Times New Roman" w:eastAsia="Times New Roman" w:hAnsi="Times New Roman"/>
          <w:sz w:val="20"/>
          <w:szCs w:val="20"/>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spacing w:after="0" w:line="181" w:lineRule="exact"/>
        <w:rPr>
          <w:rFonts w:ascii="Times New Roman" w:cs="Times New Roman" w:eastAsia="Times New Roman" w:hAnsi="Times New Roman"/>
          <w:sz w:val="20"/>
          <w:szCs w:val="20"/>
          <w:color w:val="auto"/>
        </w:rPr>
      </w:pPr>
    </w:p>
    <w:p>
      <w:pPr>
        <w:ind w:left="328" w:hanging="328"/>
        <w:spacing w:after="0" w:line="283"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and paragraphs of this Agreement are inserted for convenience only and shall not be deemed to constitute part of this Agreement or to affect the construction or interpretation thereof.</w:t>
      </w:r>
    </w:p>
    <w:p>
      <w:pPr>
        <w:spacing w:after="0" w:line="159" w:lineRule="exact"/>
        <w:rPr>
          <w:rFonts w:ascii="Times New Roman" w:cs="Times New Roman" w:eastAsia="Times New Roman" w:hAnsi="Times New Roman"/>
          <w:sz w:val="20"/>
          <w:szCs w:val="20"/>
          <w:color w:val="auto"/>
        </w:rPr>
      </w:pPr>
    </w:p>
    <w:p>
      <w:pPr>
        <w:ind w:left="328" w:hanging="328"/>
        <w:spacing w:after="0" w:line="269" w:lineRule="auto"/>
        <w:tabs>
          <w:tab w:leader="none" w:pos="32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each of which shall for all purposes be deemed to be an original, but all of which together shall constitute one and the same Agreement.</w:t>
      </w:r>
    </w:p>
    <w:p>
      <w:pPr>
        <w:spacing w:after="0" w:line="17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0908"/>
          </w:cols>
          <w:pgMar w:left="652" w:top="144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pacing w:after="0" w:line="2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CBIZ, Inc.</w:t>
      </w:r>
    </w:p>
    <w:p>
      <w:pPr>
        <w:spacing w:after="0" w:line="40"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243" w:lineRule="exact"/>
        <w:rPr>
          <w:sz w:val="20"/>
          <w:szCs w:val="20"/>
          <w:color w:val="auto"/>
        </w:rPr>
      </w:pPr>
    </w:p>
    <w:p>
      <w:pPr>
        <w:ind w:left="4980"/>
        <w:spacing w:after="0"/>
        <w:tabs>
          <w:tab w:leader="none" w:pos="5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256" w:lineRule="exact"/>
        <w:rPr>
          <w:sz w:val="20"/>
          <w:szCs w:val="20"/>
          <w:color w:val="auto"/>
        </w:rPr>
      </w:pPr>
    </w:p>
    <w:p>
      <w:pPr>
        <w:ind w:left="4980"/>
        <w:spacing w:after="0"/>
        <w:tabs>
          <w:tab w:leader="none" w:pos="5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INDEMNITEE</w:t>
      </w:r>
    </w:p>
    <w:p>
      <w:pPr>
        <w:spacing w:after="0" w:line="283"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243" w:lineRule="exact"/>
        <w:rPr>
          <w:sz w:val="20"/>
          <w:szCs w:val="20"/>
          <w:color w:val="auto"/>
        </w:rPr>
      </w:pPr>
    </w:p>
    <w:p>
      <w:pPr>
        <w:ind w:left="4980"/>
        <w:spacing w:after="0"/>
        <w:tabs>
          <w:tab w:leader="none" w:pos="5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____________________________________</w:t>
      </w:r>
    </w:p>
    <w:p>
      <w:pPr>
        <w:spacing w:after="0" w:line="2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Address:</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__________________________________________</w:t>
      </w:r>
    </w:p>
    <w:p>
      <w:pPr>
        <w:spacing w:after="0" w:line="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_____________________</w:t>
      </w:r>
    </w:p>
    <w:p>
      <w:pPr>
        <w:sectPr>
          <w:pgSz w:w="11900" w:h="16838" w:orient="portrait"/>
          <w:cols w:equalWidth="0" w:num="1">
            <w:col w:w="9479"/>
          </w:cols>
          <w:pgMar w:left="980" w:top="1413"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CONSULTING AGREEMENT</w:t>
      </w:r>
    </w:p>
    <w:p>
      <w:pPr>
        <w:spacing w:after="0" w:line="245" w:lineRule="exact"/>
        <w:rPr>
          <w:sz w:val="20"/>
          <w:szCs w:val="20"/>
          <w:color w:val="auto"/>
        </w:rPr>
      </w:pPr>
    </w:p>
    <w:p>
      <w:pPr>
        <w:jc w:val="both"/>
        <w:ind w:firstLine="441"/>
        <w:spacing w:after="0" w:line="285" w:lineRule="auto"/>
        <w:rPr>
          <w:sz w:val="20"/>
          <w:szCs w:val="20"/>
          <w:color w:val="auto"/>
        </w:rPr>
      </w:pPr>
      <w:r>
        <w:rPr>
          <w:rFonts w:ascii="Times New Roman" w:cs="Times New Roman" w:eastAsia="Times New Roman" w:hAnsi="Times New Roman"/>
          <w:sz w:val="21"/>
          <w:szCs w:val="21"/>
          <w:color w:val="auto"/>
        </w:rPr>
        <w:t>THIS CONSULTING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highlight w:val="white"/>
        </w:rPr>
        <w:t>”), dated as of March 2, 2026, is entered into by and between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highlight w:val="white"/>
        </w:rPr>
        <w:t>CBIZ,</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INC.</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highlight w:val="white"/>
        </w:rPr>
        <w: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auto"/>
          <w:highlight w:val="white"/>
        </w:rPr>
        <w:t>Chris Spurio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21"/>
          <w:szCs w:val="21"/>
          <w:u w:val="single" w:color="auto"/>
          <w:color w:val="auto"/>
          <w:highlight w:val="white"/>
        </w:rPr>
        <w:t>Consultant</w:t>
      </w:r>
      <w:r>
        <w:rPr>
          <w:rFonts w:ascii="Times New Roman" w:cs="Times New Roman" w:eastAsia="Times New Roman" w:hAnsi="Times New Roman"/>
          <w:sz w:val="21"/>
          <w:szCs w:val="21"/>
          <w:color w:val="auto"/>
          <w:highlight w:val="white"/>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 E C I T A L S</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WHEREAS, Consultant served as the President, Financial Services, of the Company; and</w:t>
      </w:r>
    </w:p>
    <w:p>
      <w:pPr>
        <w:spacing w:after="0" w:line="245" w:lineRule="exact"/>
        <w:rPr>
          <w:sz w:val="20"/>
          <w:szCs w:val="20"/>
          <w:color w:val="auto"/>
        </w:rPr>
      </w:pPr>
    </w:p>
    <w:p>
      <w:pPr>
        <w:jc w:val="both"/>
        <w:ind w:right="20" w:firstLine="441"/>
        <w:spacing w:after="0" w:line="270" w:lineRule="auto"/>
        <w:rPr>
          <w:sz w:val="20"/>
          <w:szCs w:val="20"/>
          <w:color w:val="auto"/>
        </w:rPr>
      </w:pPr>
      <w:r>
        <w:rPr>
          <w:rFonts w:ascii="Times New Roman" w:cs="Times New Roman" w:eastAsia="Times New Roman" w:hAnsi="Times New Roman"/>
          <w:sz w:val="21"/>
          <w:szCs w:val="21"/>
          <w:color w:val="auto"/>
        </w:rPr>
        <w:t>WHEREAS, Consultant’s employment with the Company and all of its subsidiaries and affiliates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highlight w:val="white"/>
        </w:rPr>
        <w:t>”) ended effective as of January 31, 2026 (the “Separation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-48895</wp:posOffset>
            </wp:positionV>
            <wp:extent cx="838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17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1"/>
          <w:szCs w:val="21"/>
          <w:color w:val="auto"/>
        </w:rPr>
        <w:t>WHEREAS, in connection with the end of Consultant’s employment with the Company Group, the Company will pay Consultant severance benefits in the gross aggregate amount equal to (i) Consultant’s most recent former annual base salary, plus (ii) one times Consultant’s average annual short-term incentive received over the three-year period prior to Consultant’s Separation Date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with such Severance Benefits subject to the conditions of, and payable in twenty-four (24) semi-monthly installments pursuant to, the Company’s Corporate Executive Severance Policy, including Consultant’s execution and non-revocation of the Separation Agreement and General Release (the “Initial Release”); and</w:t>
      </w:r>
    </w:p>
    <w:p>
      <w:pPr>
        <w:spacing w:after="0" w:line="207" w:lineRule="exact"/>
        <w:rPr>
          <w:sz w:val="20"/>
          <w:szCs w:val="20"/>
          <w:color w:val="auto"/>
        </w:rPr>
      </w:pPr>
    </w:p>
    <w:p>
      <w:pPr>
        <w:jc w:val="both"/>
        <w:ind w:right="20" w:firstLine="441"/>
        <w:spacing w:after="0" w:line="270" w:lineRule="auto"/>
        <w:rPr>
          <w:sz w:val="20"/>
          <w:szCs w:val="20"/>
          <w:color w:val="auto"/>
        </w:rPr>
      </w:pPr>
      <w:r>
        <w:rPr>
          <w:rFonts w:ascii="Times New Roman" w:cs="Times New Roman" w:eastAsia="Times New Roman" w:hAnsi="Times New Roman"/>
          <w:sz w:val="21"/>
          <w:szCs w:val="21"/>
          <w:color w:val="auto"/>
        </w:rPr>
        <w:t>WHEREAS, Consultant shall vest in Consultant’s outstanding long-term incentive equity awards in accordance with the terms of the applicable award agreements; and</w:t>
      </w:r>
    </w:p>
    <w:p>
      <w:pPr>
        <w:spacing w:after="0" w:line="19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21"/>
          <w:szCs w:val="21"/>
          <w:color w:val="auto"/>
        </w:rPr>
        <w:t>WHEREAS, the Company wishes to retain Consultant to perform consulting services and fulfill certain related duties and obligations under the terms and conditions of this Agreement, commencing on the Effective Date (as defined below).</w:t>
      </w:r>
    </w:p>
    <w:p>
      <w:pPr>
        <w:spacing w:after="0" w:line="199" w:lineRule="exact"/>
        <w:rPr>
          <w:sz w:val="20"/>
          <w:szCs w:val="20"/>
          <w:color w:val="auto"/>
        </w:rPr>
      </w:pPr>
    </w:p>
    <w:p>
      <w:pPr>
        <w:jc w:val="both"/>
        <w:ind w:right="20" w:firstLine="441"/>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set forth in this Agreement, and other good and valuable consideration, the receipt and adequacy of which are hereby acknowledged, the parties hereto agree as follows:</w:t>
      </w:r>
    </w:p>
    <w:p>
      <w:pPr>
        <w:spacing w:after="0" w:line="186" w:lineRule="exact"/>
        <w:rPr>
          <w:sz w:val="20"/>
          <w:szCs w:val="20"/>
          <w:color w:val="auto"/>
        </w:rPr>
      </w:pPr>
    </w:p>
    <w:p>
      <w:pPr>
        <w:jc w:val="both"/>
        <w:ind w:firstLine="656"/>
        <w:spacing w:after="0" w:line="260" w:lineRule="auto"/>
        <w:tabs>
          <w:tab w:leader="none" w:pos="118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The Company and Consultant acknowledge and agree that Consultant’s employment with the Company ended on the Separation Date, and Consultant shall be deemed to have automatically resigned from any and all officer, director and manager positions and relinquished all employment-related titles he may have held within the Company Group as of the Separation Date.</w:t>
      </w:r>
    </w:p>
    <w:p>
      <w:pPr>
        <w:spacing w:after="0" w:line="195" w:lineRule="exact"/>
        <w:rPr>
          <w:rFonts w:ascii="Times New Roman" w:cs="Times New Roman" w:eastAsia="Times New Roman" w:hAnsi="Times New Roman"/>
          <w:sz w:val="21"/>
          <w:szCs w:val="21"/>
          <w:color w:val="auto"/>
        </w:rPr>
      </w:pPr>
    </w:p>
    <w:p>
      <w:pPr>
        <w:ind w:left="1020" w:hanging="364"/>
        <w:spacing w:after="0"/>
        <w:tabs>
          <w:tab w:leader="none" w:pos="10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Consulting Services</w:t>
      </w:r>
      <w:r>
        <w:rPr>
          <w:rFonts w:ascii="Times New Roman" w:cs="Times New Roman" w:eastAsia="Times New Roman" w:hAnsi="Times New Roman"/>
          <w:sz w:val="21"/>
          <w:szCs w:val="21"/>
          <w:color w:val="auto"/>
        </w:rPr>
        <w:t>.</w:t>
      </w:r>
    </w:p>
    <w:p>
      <w:pPr>
        <w:spacing w:after="0" w:line="244" w:lineRule="exact"/>
        <w:rPr>
          <w:rFonts w:ascii="Times New Roman" w:cs="Times New Roman" w:eastAsia="Times New Roman" w:hAnsi="Times New Roman"/>
          <w:sz w:val="21"/>
          <w:szCs w:val="21"/>
          <w:color w:val="auto"/>
        </w:rPr>
      </w:pPr>
    </w:p>
    <w:p>
      <w:pPr>
        <w:jc w:val="both"/>
        <w:ind w:firstLine="1304"/>
        <w:spacing w:after="0" w:line="260" w:lineRule="auto"/>
        <w:tabs>
          <w:tab w:leader="none" w:pos="18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Capacity</w:t>
      </w:r>
      <w:r>
        <w:rPr>
          <w:rFonts w:ascii="Times New Roman" w:cs="Times New Roman" w:eastAsia="Times New Roman" w:hAnsi="Times New Roman"/>
          <w:sz w:val="21"/>
          <w:szCs w:val="21"/>
          <w:color w:val="auto"/>
        </w:rPr>
        <w:t>. The Company hereby retains Consultant on a non-exclusive basis with respect to the business of the Company Group for the purpose of assisting and supporting the transition of Consultant’s former responsibilities as requested by the Chief Executive Officer of the Company. Consultant hereby agrees to provide such services, and any others as may be requested by the Chief Executive Officer of the Company, upon the terms and the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216117433</w:t>
      </w:r>
    </w:p>
    <w:p>
      <w:pPr>
        <w:sectPr>
          <w:pgSz w:w="11900" w:h="16838" w:orient="portrait"/>
          <w:cols w:equalWidth="0" w:num="1">
            <w:col w:w="11240"/>
          </w:cols>
          <w:pgMar w:left="320" w:top="122" w:right="339" w:bottom="1440" w:gutter="0" w:footer="0" w:header="0"/>
        </w:sectPr>
      </w:pPr>
    </w:p>
    <w:bookmarkStart w:id="51" w:name="page52"/>
    <w:bookmarkEnd w:id="51"/>
    <w:p>
      <w:pPr>
        <w:jc w:val="both"/>
        <w:ind w:firstLine="1304"/>
        <w:spacing w:after="0" w:line="267" w:lineRule="auto"/>
        <w:tabs>
          <w:tab w:leader="none" w:pos="187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and Operation</w:t>
      </w:r>
      <w:r>
        <w:rPr>
          <w:rFonts w:ascii="Times New Roman" w:cs="Times New Roman" w:eastAsia="Times New Roman" w:hAnsi="Times New Roman"/>
          <w:sz w:val="20"/>
          <w:szCs w:val="20"/>
          <w:color w:val="auto"/>
          <w:highlight w:val="white"/>
        </w:rPr>
        <w:t>. This Agreement will commence on February 1, 2026 (the “Effective Date”) and shall</w:t>
      </w:r>
      <w:r>
        <w:rPr>
          <w:rFonts w:ascii="Times New Roman" w:cs="Times New Roman" w:eastAsia="Times New Roman" w:hAnsi="Times New Roman"/>
          <w:sz w:val="20"/>
          <w:szCs w:val="20"/>
          <w:color w:val="auto"/>
        </w:rPr>
        <w:t xml:space="preserve"> continue until January 31, 2027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highlight w:val="white"/>
        </w:rPr>
        <w:t>”), unless earlier terminated as set forth in this Section 2(b). Notwithstanding the foregoing,</w:t>
      </w:r>
      <w:r>
        <w:rPr>
          <w:rFonts w:ascii="Times New Roman" w:cs="Times New Roman" w:eastAsia="Times New Roman" w:hAnsi="Times New Roman"/>
          <w:sz w:val="20"/>
          <w:szCs w:val="20"/>
          <w:color w:val="auto"/>
        </w:rPr>
        <w:t xml:space="preserve"> if Consultant fails to execute this Agreement or the Initial Release, or Consultant revokes the Initial Release, then this Agreement shall immediately and automatically terminate and this Agreement and the Company’s obligation to pay any Consulting Fees hereunder will be null and void. This Agreement and the Term will terminate upon the earliest of (i) the expiration of the Term, (ii) automatically on the death or disability of Consultant, or (iii) upon the Company’s notice to Consultant of the termination of this Agreement.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In consideration of Consultant’s performance of the consulting services, during the Term, the Company will pay Consultant a monthly consulting fee of Sixty-Two Thousand Eight Hundred Sixty-Eight Dollars ($62,868) for each full calendar month during the Term, with such amount pro-rated for any partial calendar month except as set forth in this Section 2(c) (the “</w:t>
      </w:r>
      <w:r>
        <w:rPr>
          <w:rFonts w:ascii="Times New Roman" w:cs="Times New Roman" w:eastAsia="Times New Roman" w:hAnsi="Times New Roman"/>
          <w:sz w:val="21"/>
          <w:szCs w:val="21"/>
          <w:u w:val="single" w:color="auto"/>
          <w:color w:val="auto"/>
        </w:rPr>
        <w:t>Consulting Fees</w:t>
      </w:r>
      <w:r>
        <w:rPr>
          <w:rFonts w:ascii="Times New Roman" w:cs="Times New Roman" w:eastAsia="Times New Roman" w:hAnsi="Times New Roman"/>
          <w:sz w:val="21"/>
          <w:szCs w:val="21"/>
          <w:color w:val="auto"/>
        </w:rPr>
        <w:t>”). Subject to the terms of Section 2(e), in the event the Company terminates this Agreement prior to the expiration of the Term, the Company shall continue to pay Consultant (or Consultant’s estate in the event of Consultant’s death) the consulting fee described in the first sentence of this Section 2(c) for the remainder of the Term according to the regular monthly schedule set forth herein.</w:t>
      </w:r>
    </w:p>
    <w:p>
      <w:pPr>
        <w:spacing w:after="0" w:line="202" w:lineRule="exact"/>
        <w:rPr>
          <w:rFonts w:ascii="Times New Roman" w:cs="Times New Roman" w:eastAsia="Times New Roman" w:hAnsi="Times New Roman"/>
          <w:sz w:val="21"/>
          <w:szCs w:val="21"/>
          <w:color w:val="auto"/>
        </w:rPr>
      </w:pPr>
    </w:p>
    <w:p>
      <w:pPr>
        <w:jc w:val="both"/>
        <w:ind w:firstLine="1304"/>
        <w:spacing w:after="0" w:line="249" w:lineRule="auto"/>
        <w:tabs>
          <w:tab w:leader="none" w:pos="190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Expenses</w:t>
      </w:r>
      <w:r>
        <w:rPr>
          <w:rFonts w:ascii="Times New Roman" w:cs="Times New Roman" w:eastAsia="Times New Roman" w:hAnsi="Times New Roman"/>
          <w:sz w:val="21"/>
          <w:szCs w:val="21"/>
          <w:color w:val="auto"/>
        </w:rPr>
        <w:t>. The Company shall reimburse Consultant for all reasonable and documented expenses incurred by Consultant in the performance of Consultant’s duties under this Agreement. Consultant shall not be obligated to make any advance to or for the account of the Company, nor shall Consultant be obligated to incur any expense for the account of the Company without assurance that the necessary funds for the discharge of such expense will be provided. Notwithstanding the foregoing, all significant expenses to be incurred by Consultant in connection with this Agreement shall require the prior approval of the Chief Executive Officer or Chief Financial Officer of the Company. If any reimbursements or in-kind benefits provided by the Company pursuant to this Agreement would constitute deferred compensation for purposes of Section 409A of the Internal Revenue Code of 1986, as amended (including any applicable rulings or regulations promulgated thereunder)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highlight w:val="white"/>
        </w:rPr>
        <w:t>”), such</w:t>
      </w:r>
      <w:r>
        <w:rPr>
          <w:rFonts w:ascii="Times New Roman" w:cs="Times New Roman" w:eastAsia="Times New Roman" w:hAnsi="Times New Roman"/>
          <w:sz w:val="21"/>
          <w:szCs w:val="21"/>
          <w:color w:val="auto"/>
        </w:rPr>
        <w:t xml:space="preserve"> reimbursements or in-kind benefits shall be subject to the following rules: (i) the amounts to be reimbursed, or the in-kind benefits to be provided, shall be determined pursuant to the terms of the applicable benefit plan, policy or agreement and shall be limited to Consultant’s lifetime and the lifetime of Consultant’s eligible dependents; (ii) the amount eligible for reimbursement, or the in-kind benefits provided, during any calendar year may not affect the expenses eligible for reimbursement, or the in-kind benefits provided, in any other calendar year; (iii) any reimbursement of an eligible expense shall be made on or before the last day of the calendar year following the calendar year in which the expense was incurred; and (iv) Consultant’s right to an in-kind benefit or reimbursement is not subject to liquidation or exchange for cash or another benefit.</w:t>
      </w:r>
    </w:p>
    <w:p>
      <w:pPr>
        <w:spacing w:after="0" w:line="21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5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As a condition to the Company entering into this Agreement and paying the Consulting Fees, Consultant agrees to timely execute and not revoke the Initial Release and an additional release of claims for the benefit of the Company at the conclusion of the Term (in substantially the form attached as Exhibit A), with such requirements collectively referred to as, the “</w:t>
      </w:r>
      <w:r>
        <w:rPr>
          <w:rFonts w:ascii="Times New Roman" w:cs="Times New Roman" w:eastAsia="Times New Roman" w:hAnsi="Times New Roman"/>
          <w:sz w:val="21"/>
          <w:szCs w:val="21"/>
          <w:u w:val="single" w:color="auto"/>
          <w:color w:val="auto"/>
        </w:rPr>
        <w:t>Release Condition</w:t>
      </w:r>
      <w:r>
        <w:rPr>
          <w:rFonts w:ascii="Times New Roman" w:cs="Times New Roman" w:eastAsia="Times New Roman" w:hAnsi="Times New Roman"/>
          <w:sz w:val="21"/>
          <w:szCs w:val="21"/>
          <w:color w:val="auto"/>
          <w:highlight w:val="white"/>
        </w:rPr>
        <w:t>”). In the event Consultant fails to satisfy the Release Condition, this Agreement shall immediately and</w:t>
      </w:r>
      <w:r>
        <w:rPr>
          <w:rFonts w:ascii="Times New Roman" w:cs="Times New Roman" w:eastAsia="Times New Roman" w:hAnsi="Times New Roman"/>
          <w:sz w:val="21"/>
          <w:szCs w:val="21"/>
          <w:color w:val="auto"/>
        </w:rPr>
        <w:t xml:space="preserve"> automatically terminate and Consultant shall promptly repay to the Company amounts previously received by Consultant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-5702300</wp:posOffset>
            </wp:positionV>
            <wp:extent cx="7753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16"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21"/>
          <w:szCs w:val="21"/>
          <w:color w:val="auto"/>
        </w:rPr>
        <w:t>Agreement, provided that, if Consultant satisfied the Initial Release requirement at the commencement of this Agreement, Consultant shall repay to the Company amounts previously received by Consultant pursuant to this Agreement beyond the value of $1,000.00, in all cases without limiting the Company’s other remedies or impairing any Release Condition. For purposes of clarity, each release of claims contemplated by this Section 2(e) shall set forth the applicable consideration and revocation periods associated with such release of claims. For avoidance of doubt, Consultant acknowledges and agrees that Consultant would not be eligible for the Consulting Fees without entering into this Agreement and satisfying the Release Condition.</w:t>
      </w:r>
    </w:p>
    <w:p>
      <w:pPr>
        <w:spacing w:after="0" w:line="207" w:lineRule="exact"/>
        <w:rPr>
          <w:sz w:val="20"/>
          <w:szCs w:val="20"/>
          <w:color w:val="auto"/>
        </w:rPr>
      </w:pPr>
    </w:p>
    <w:p>
      <w:pPr>
        <w:ind w:firstLine="1304"/>
        <w:spacing w:after="0" w:line="260" w:lineRule="auto"/>
        <w:tabs>
          <w:tab w:leader="none" w:pos="1723"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Policy</w:t>
      </w:r>
      <w:r>
        <w:rPr>
          <w:rFonts w:ascii="Times New Roman" w:cs="Times New Roman" w:eastAsia="Times New Roman" w:hAnsi="Times New Roman"/>
          <w:sz w:val="21"/>
          <w:szCs w:val="21"/>
          <w:color w:val="auto"/>
          <w:highlight w:val="white"/>
        </w:rPr>
        <w:t>. During the Term, Consultant shall be subject to the Company’s Insider Trading Policy as a</w:t>
      </w:r>
      <w:r>
        <w:rPr>
          <w:rFonts w:ascii="Times New Roman" w:cs="Times New Roman" w:eastAsia="Times New Roman" w:hAnsi="Times New Roman"/>
          <w:sz w:val="21"/>
          <w:szCs w:val="21"/>
          <w:color w:val="auto"/>
        </w:rPr>
        <w:t xml:space="preserve"> Designated Person, unless otherwise determined by the Company’s Chief Legal Officer.</w:t>
      </w:r>
    </w:p>
    <w:p>
      <w:pPr>
        <w:ind w:left="1020" w:hanging="364"/>
        <w:spacing w:after="0"/>
        <w:tabs>
          <w:tab w:leader="none" w:pos="102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w:t>
      </w:r>
    </w:p>
    <w:p>
      <w:pPr>
        <w:spacing w:after="0" w:line="234" w:lineRule="exact"/>
        <w:rPr>
          <w:rFonts w:ascii="Times New Roman" w:cs="Times New Roman" w:eastAsia="Times New Roman" w:hAnsi="Times New Roman"/>
          <w:sz w:val="21"/>
          <w:szCs w:val="21"/>
          <w:color w:val="auto"/>
        </w:rPr>
      </w:pPr>
    </w:p>
    <w:p>
      <w:pPr>
        <w:jc w:val="both"/>
        <w:ind w:firstLine="1304"/>
        <w:spacing w:after="0" w:line="266" w:lineRule="auto"/>
        <w:tabs>
          <w:tab w:leader="none" w:pos="1827"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 and Trade Secrets Notice</w:t>
      </w:r>
      <w:r>
        <w:rPr>
          <w:rFonts w:ascii="Times New Roman" w:cs="Times New Roman" w:eastAsia="Times New Roman" w:hAnsi="Times New Roman"/>
          <w:sz w:val="20"/>
          <w:szCs w:val="20"/>
          <w:color w:val="auto"/>
        </w:rPr>
        <w:t>. Except (i) as required in order to perform his obligations under this Agreement, (ii) as may otherwise be required by law or any legal process (in which case Consultant shall use his reasonable best efforts in cooperating with the Company in obtaining a protective order against disclosure by a court of competent jurisdiction), or</w:t>
      </w:r>
    </w:p>
    <w:p>
      <w:pPr>
        <w:spacing w:after="0" w:line="1" w:lineRule="exact"/>
        <w:rPr>
          <w:rFonts w:ascii="Times New Roman" w:cs="Times New Roman" w:eastAsia="Times New Roman" w:hAnsi="Times New Roman"/>
          <w:sz w:val="20"/>
          <w:szCs w:val="20"/>
          <w:color w:val="auto"/>
        </w:rPr>
      </w:pPr>
    </w:p>
    <w:p>
      <w:pPr>
        <w:jc w:val="both"/>
        <w:ind w:firstLine="8"/>
        <w:spacing w:after="0" w:line="247" w:lineRule="auto"/>
        <w:tabs>
          <w:tab w:leader="none" w:pos="3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permitted by this Agreement, Consultant shall not, without the express prior written consent of the Company, disclose or divulge to any other person or entity, or use or modify for use, directly or indirectly, in any way, for any person or entity any of the Company Group’s Confidential Information at any time, without the prior permission of Company. For purposes of this Agreement,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of the Company Group shall mean any valuable, competitively sensitive data and information related to the Company Group’s business (the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including, without limitation, Trade Secrets (as defined below), that are not generally known by or readily available to the Company Group’s competitors other than as a result of an improper disclosure directly or indirectly by Consultant. “</w:t>
      </w:r>
      <w:r>
        <w:rPr>
          <w:rFonts w:ascii="Times New Roman" w:cs="Times New Roman" w:eastAsia="Times New Roman" w:hAnsi="Times New Roman"/>
          <w:sz w:val="21"/>
          <w:szCs w:val="21"/>
          <w:u w:val="single" w:color="auto"/>
          <w:color w:val="auto"/>
        </w:rPr>
        <w:t>Trade Secrets</w:t>
      </w:r>
      <w:r>
        <w:rPr>
          <w:rFonts w:ascii="Times New Roman" w:cs="Times New Roman" w:eastAsia="Times New Roman" w:hAnsi="Times New Roman"/>
          <w:sz w:val="21"/>
          <w:szCs w:val="21"/>
          <w:color w:val="auto"/>
        </w:rPr>
        <w:t>” shall mean information or data of the Company Group in connection with the Business, including, but not limited to, technical or non-technical data, financial information, programs, devices, methods, techniques, drawings, processes, financial plans, product plans, or lists of actual or potential customers or suppliers, that: (A) derive economic value, actual or potential, from not being generally known to, and not being readily ascertainable by proper means by, other persons who can obtain economic value from their disclosure or use and (B) are the subject of efforts that are reasonable under the circumstances to maintain their secrecy. Consultant understands that the federal Defend Trade Secrets Act of 2016 provides that an individual shall not be held criminally or civilly liable under any federal or state trade secret law for the disclosure of a trade secret that: (1) is made (x) in confidence to a federal, state, or local government official, either directly or indirectly, or to an attorney; and (y) solely for the purpose of reporting or investigating a suspected violation of law; or (2) is made in a complaint or other document filed in a lawsuit or other proceeding, provided such filing is made under seal.</w:t>
      </w:r>
    </w:p>
    <w:p>
      <w:pPr>
        <w:spacing w:after="0" w:line="211"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12"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Group Property</w:t>
      </w:r>
      <w:r>
        <w:rPr>
          <w:rFonts w:ascii="Times New Roman" w:cs="Times New Roman" w:eastAsia="Times New Roman" w:hAnsi="Times New Roman"/>
          <w:sz w:val="21"/>
          <w:szCs w:val="21"/>
          <w:color w:val="auto"/>
          <w:highlight w:val="white"/>
        </w:rPr>
        <w:t>. All records, files, drawings, documents, models, equipment, and the like containing</w:t>
      </w:r>
      <w:r>
        <w:rPr>
          <w:rFonts w:ascii="Times New Roman" w:cs="Times New Roman" w:eastAsia="Times New Roman" w:hAnsi="Times New Roman"/>
          <w:sz w:val="21"/>
          <w:szCs w:val="21"/>
          <w:color w:val="auto"/>
        </w:rPr>
        <w:t xml:space="preserve"> Confidential Information or needed in the Business which Consultant has control over shall not be removed from the Company Group’s premises without its written consent, unless such removal is in the furtherance of the Business or is in connection with Consultant carrying out his duties under this Agreement and, if so removed, shall be returned to the Company Group promptly after termination of Consultant’s services hereunder, or otherwise promptly after removal if such removal occurs following termination of services.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16" w:right="339" w:bottom="1440" w:gutter="0" w:footer="0" w:header="0"/>
        </w:sectPr>
      </w:pPr>
    </w:p>
    <w:bookmarkStart w:id="53" w:name="page54"/>
    <w:bookmarkEnd w:id="53"/>
    <w:p>
      <w:pPr>
        <w:spacing w:after="0" w:line="270" w:lineRule="auto"/>
        <w:rPr>
          <w:sz w:val="20"/>
          <w:szCs w:val="20"/>
          <w:color w:val="auto"/>
        </w:rPr>
      </w:pPr>
      <w:r>
        <w:rPr>
          <w:rFonts w:ascii="Times New Roman" w:cs="Times New Roman" w:eastAsia="Times New Roman" w:hAnsi="Times New Roman"/>
          <w:sz w:val="21"/>
          <w:szCs w:val="21"/>
          <w:color w:val="auto"/>
        </w:rPr>
        <w:t>Group shall be the owner of all Trade Secrets and other products relating to the Business developed by Consultant alone or in conjunction with others as part of his services under this Agreement.</w:t>
      </w:r>
    </w:p>
    <w:p>
      <w:pPr>
        <w:spacing w:after="0" w:line="199" w:lineRule="exact"/>
        <w:rPr>
          <w:sz w:val="20"/>
          <w:szCs w:val="20"/>
          <w:color w:val="auto"/>
        </w:rPr>
      </w:pPr>
    </w:p>
    <w:p>
      <w:pPr>
        <w:jc w:val="both"/>
        <w:ind w:firstLine="1304"/>
        <w:spacing w:after="0" w:line="249" w:lineRule="auto"/>
        <w:tabs>
          <w:tab w:leader="none" w:pos="178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In the scope of Consultant’s services under this Agreement, Consultant may be requested, alone or with others, to create, invent, enhance, and modify items which are or could be deemed to be Confidential Information. Consultant acknowledges and agrees that all of such information is intended to be, and will remain, the sole and exclusive property of the Company Group. In addition, Consultant agrees that any and all intellectual property that Consultant invents, discovers, originates, makes, conceives, creates or authors either solely or jointly with others in connection with his services under this Agreement and that is the result of or is substantially derived from Confidential Information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highlight w:val="white"/>
        </w:rPr>
        <w:t>”) shall be the sole and exclusive property</w:t>
      </w:r>
      <w:r>
        <w:rPr>
          <w:rFonts w:ascii="Times New Roman" w:cs="Times New Roman" w:eastAsia="Times New Roman" w:hAnsi="Times New Roman"/>
          <w:sz w:val="21"/>
          <w:szCs w:val="21"/>
          <w:color w:val="auto"/>
        </w:rPr>
        <w:t xml:space="preserve"> of the Company Group unless in the public domain. When Consultant’s services under this Agreement terminate, he shall promptly and fully disclose all such Intellectual Property to the Company Group, shall provide the Company with any information that it may reasonably request about such property and shall execute such agreements, assignments or other instruments as may be reasonably requested by the Company Group to reflect such ownership by the Company Group and shall fully cooperate with the Company Group to protect the business relationships of the Company Group and to insure that there will be no unreasonable interference or disruption of such business relationships.</w:t>
      </w:r>
    </w:p>
    <w:p>
      <w:pPr>
        <w:spacing w:after="0" w:line="206"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8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highlight w:val="white"/>
        </w:rPr>
        <w:t>. All Confidential Information, documents and data obtained or prepared by Consultant in the</w:t>
      </w:r>
      <w:r>
        <w:rPr>
          <w:rFonts w:ascii="Times New Roman" w:cs="Times New Roman" w:eastAsia="Times New Roman" w:hAnsi="Times New Roman"/>
          <w:sz w:val="21"/>
          <w:szCs w:val="21"/>
          <w:color w:val="auto"/>
        </w:rPr>
        <w:t xml:space="preserve"> course and scope of Consultant’s engagement under this Agreement are and shall remain the property of the Company Group. Consultant shall return when requested, and in any event promptly upon termination of the Term for any reason, all correspondence, drawings, manuals, letters, notes, notebooks, reports, programs, plans, proposals, financial documents, or any other documents concerning the Company Group’s customers, business plans, marketing strategies, products or processes and/or which contain Confidential Information or Trade Secrets, without keeping copies in any form.</w:t>
      </w:r>
    </w:p>
    <w:p>
      <w:pPr>
        <w:spacing w:after="0" w:line="22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2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From the Separation Date, during the Term and for a period of two (2) years following the conclusion thereof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Consultant shall not, directly or indirectly, on his own behalf or on behalf of any other person or entity, whether as an owner, employee, service provider or otherwise, solicit, induce, or encourage any person who is or was employed by, or providing consulting services to, the Company Group during the 12-month period prior to the date of the termination of the Term, to terminate their employment or consulting relationship with the Company Group.</w:t>
      </w:r>
    </w:p>
    <w:p>
      <w:pPr>
        <w:spacing w:after="0" w:line="217"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7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Non-Interference</w:t>
      </w:r>
      <w:r>
        <w:rPr>
          <w:rFonts w:ascii="Times New Roman" w:cs="Times New Roman" w:eastAsia="Times New Roman" w:hAnsi="Times New Roman"/>
          <w:sz w:val="21"/>
          <w:szCs w:val="21"/>
          <w:color w:val="auto"/>
          <w:highlight w:val="white"/>
        </w:rPr>
        <w:t>. During the Restricted Period, Consultant shall not knowingly or purposefully directly or</w:t>
      </w:r>
      <w:r>
        <w:rPr>
          <w:rFonts w:ascii="Times New Roman" w:cs="Times New Roman" w:eastAsia="Times New Roman" w:hAnsi="Times New Roman"/>
          <w:sz w:val="21"/>
          <w:szCs w:val="21"/>
          <w:color w:val="auto"/>
        </w:rPr>
        <w:t xml:space="preserve"> indirectly interfere with the relationship of the Company Group and any employee, agent or representative of the Company Group and shall not knowingly or purposefully, directly or indirectly interfere with the relationships of the Company Group with its customers, dealers, distributors, vendors or sources of supply. After discussing the matter with Consultant, the Company shall have the right, subject to applicable law, to inform any other third party that the Company reasonably believes to be, or to be contemplating, participating with Consultant or receiving from Consultant assistance in violation of this Agreement, and of the rights of Company hereunder, and that participation by any such third party with Consultant in activities in violation of this Section 3(f) may give rise to claims by Company against such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16" w:right="339" w:bottom="1440" w:gutter="0" w:footer="0" w:header="0"/>
        </w:sectPr>
      </w:pPr>
    </w:p>
    <w:bookmarkStart w:id="54" w:name="page55"/>
    <w:bookmarkEnd w:id="54"/>
    <w:p>
      <w:pPr>
        <w:jc w:val="both"/>
        <w:ind w:firstLine="1304"/>
        <w:spacing w:after="0" w:line="255" w:lineRule="auto"/>
        <w:tabs>
          <w:tab w:leader="none" w:pos="179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highlight w:val="white"/>
        </w:rPr>
        <w:t>. Except as permitted by this Agreement, Consultant shall refrain, at all times following the</w:t>
      </w:r>
      <w:r>
        <w:rPr>
          <w:rFonts w:ascii="Times New Roman" w:cs="Times New Roman" w:eastAsia="Times New Roman" w:hAnsi="Times New Roman"/>
          <w:sz w:val="21"/>
          <w:szCs w:val="21"/>
          <w:color w:val="auto"/>
        </w:rPr>
        <w:t xml:space="preserve"> Separation Date, from publishing any oral or written statements, including online, to any person or entity that damage or disparage the reputation of Company Group or the Company Group’s business, directors, officers, employees, agents or representatives. A violation or threatened violation of this prohibition may be enjoined by the courts. The rights afforded the Company Group under this Section 3(g) are in addition to any and all rights and remedies otherwise afforded by law.</w:t>
      </w:r>
    </w:p>
    <w:p>
      <w:pPr>
        <w:spacing w:after="0" w:line="202" w:lineRule="exact"/>
        <w:rPr>
          <w:rFonts w:ascii="Times New Roman" w:cs="Times New Roman" w:eastAsia="Times New Roman" w:hAnsi="Times New Roman"/>
          <w:sz w:val="21"/>
          <w:szCs w:val="21"/>
          <w:color w:val="auto"/>
        </w:rPr>
      </w:pPr>
    </w:p>
    <w:p>
      <w:pPr>
        <w:jc w:val="both"/>
        <w:ind w:firstLine="1304"/>
        <w:spacing w:after="0" w:line="262" w:lineRule="auto"/>
        <w:tabs>
          <w:tab w:leader="none" w:pos="189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Conflicts During Term</w:t>
      </w:r>
      <w:r>
        <w:rPr>
          <w:rFonts w:ascii="Times New Roman" w:cs="Times New Roman" w:eastAsia="Times New Roman" w:hAnsi="Times New Roman"/>
          <w:sz w:val="21"/>
          <w:szCs w:val="21"/>
          <w:color w:val="auto"/>
        </w:rPr>
        <w:t>. During the Term, Consultant agrees not to (i) engage in any competition with the Company Group; or (ii) assist any other business to engage in competition with the Company Group, whether as a board member, consultant, investor, employee, or otherwise.</w:t>
      </w:r>
    </w:p>
    <w:p>
      <w:pPr>
        <w:spacing w:after="0" w:line="194"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w:t>
      </w:r>
      <w:r>
        <w:rPr>
          <w:rFonts w:ascii="Times New Roman" w:cs="Times New Roman" w:eastAsia="Times New Roman" w:hAnsi="Times New Roman"/>
          <w:sz w:val="21"/>
          <w:szCs w:val="21"/>
          <w:color w:val="auto"/>
        </w:rPr>
        <w:t>. If, at any time, any of the provisions of this Section 3 shall be determined to be invalid or unenforceable under any applicable law, by reason of being vague or unreasonable as to area, duration or scope of activity, this Section 3 shall be considered divisible and shall become and be immediately amended to only such area, duration and scope of activity as shall be determined to be reasonable and enforceable by the court or other body having jurisdiction over the matter, and Consultant and the Company agree that this Section 3 as so amended shall be valid, binding, and enforceable to the fullest extent permissible as though any invalid or unenforceable provision had not been included herein.</w:t>
      </w:r>
    </w:p>
    <w:p>
      <w:pPr>
        <w:spacing w:after="0" w:line="206" w:lineRule="exact"/>
        <w:rPr>
          <w:rFonts w:ascii="Times New Roman" w:cs="Times New Roman" w:eastAsia="Times New Roman" w:hAnsi="Times New Roman"/>
          <w:sz w:val="21"/>
          <w:szCs w:val="21"/>
          <w:color w:val="auto"/>
        </w:rPr>
      </w:pPr>
    </w:p>
    <w:p>
      <w:pPr>
        <w:jc w:val="both"/>
        <w:ind w:firstLine="1304"/>
        <w:spacing w:after="0" w:line="249" w:lineRule="auto"/>
        <w:tabs>
          <w:tab w:leader="none" w:pos="173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Consultant acknowledges that: (i) as a result of Consultant’s services under this Agreement, Consultant has obtained and will obtain Confidential Information; (ii) the Confidential Information has been developed and created by the Company Group at substantial expense and the Confidential Information constitutes valuable proprietary assets and the Company Group will suffer substantial damage and irreparable harm which will be difficult to compute if, during the Term and thereafter, Consultant should divulge such Confidential Information in violation of this Agreement; (iii) the nature of the Business is such that it could be conducted anywhere in the world and that it is not limited to a geographic scope or region; (iv) the Company Group will suffer substantial damage which will be difficult to compute if, during the term of this Agreement, Consultant should (x) solicit or interfere with the Company Group’s employees, clients or customers, (y) disparage the Company Group, or (z) engage in any competition with the Company Group or assist any other business to engage in competition with the Company Group in violation of this Agreement; (v) the provisions of this Agreement are reasonable and necessary for the protection of the Business; (vi) Consultant will not be precluded from earning a living following the termination of this Agreement if the provisions of this Section 3 are fully enforced; and (vii) the Company would not have entered into this Agreement unless Consultant agreed to be bound by the terms of this Section 3.</w:t>
      </w:r>
    </w:p>
    <w:p>
      <w:pPr>
        <w:spacing w:after="0" w:line="226"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5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Remedy</w:t>
      </w:r>
      <w:r>
        <w:rPr>
          <w:rFonts w:ascii="Times New Roman" w:cs="Times New Roman" w:eastAsia="Times New Roman" w:hAnsi="Times New Roman"/>
          <w:sz w:val="21"/>
          <w:szCs w:val="21"/>
          <w:color w:val="auto"/>
          <w:highlight w:val="white"/>
        </w:rPr>
        <w:t>. Should Consultant engage in or perform any of the acts prohibited by this Section 3, it is agreed that the</w:t>
      </w:r>
      <w:r>
        <w:rPr>
          <w:rFonts w:ascii="Times New Roman" w:cs="Times New Roman" w:eastAsia="Times New Roman" w:hAnsi="Times New Roman"/>
          <w:sz w:val="21"/>
          <w:szCs w:val="21"/>
          <w:color w:val="auto"/>
        </w:rPr>
        <w:t xml:space="preserve"> Company shall be entitled to full injunctive relief, to be issued by any competent court of equity, enjoining and restraining Consultant and each and every other person, firm, organization, association, or corporation concerned therein, from the continuance of such volatile acts. Further, if Consultant engages in or performs and of the acts prohibited by this Section 3, Consultant shall: (i) forfeit the right to any compensation to Consultant under this Agreement beyond $1,000.00; and (ii) repay to the Company any compensation already paid to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Consultant under this Agreement beyond $1,000.00, in all cases without limiting the Company’s other remedies.</w:t>
      </w:r>
    </w:p>
    <w:p>
      <w:pPr>
        <w:spacing w:after="0" w:line="245" w:lineRule="exact"/>
        <w:rPr>
          <w:sz w:val="20"/>
          <w:szCs w:val="20"/>
          <w:color w:val="auto"/>
        </w:rPr>
      </w:pPr>
    </w:p>
    <w:p>
      <w:pPr>
        <w:jc w:val="both"/>
        <w:ind w:firstLine="656"/>
        <w:spacing w:after="0" w:line="250" w:lineRule="auto"/>
        <w:tabs>
          <w:tab w:leader="none" w:pos="101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Contractor</w:t>
      </w:r>
      <w:r>
        <w:rPr>
          <w:rFonts w:ascii="Times New Roman" w:cs="Times New Roman" w:eastAsia="Times New Roman" w:hAnsi="Times New Roman"/>
          <w:sz w:val="21"/>
          <w:szCs w:val="21"/>
          <w:color w:val="auto"/>
        </w:rPr>
        <w:t>. During the Term, Consultant will at all times be and remain an independent contractor. Consultant shall be free to exercise Consultant’s own judgment as to the manner and method of providing the consulting services to the Company Group, subject to applicable laws and requirements reasonably imposed by the Company Group. Consultant acknowledges and agrees that, during the Term, Consultant will not be treated as an employee of the Company Group for purposes of federal, state, local or foreign income tax withholding, nor unless otherwise specifically provided by law, for purposes of the Federal Insurance Contributions Act, the Social Security Act, the Federal Unemployment Tax Act or any Worker’s Compensation law of any state or country and for purposes of benefits provided to employees of the Company Group or any of its affiliates under any employee benefit plan. Consultant acknowledges and agrees that as an independent contractor, Consultant will be required, during the Term, to pay any applicable taxes on the fees paid to Consultant. Consultant shall indemnify, hold harmless and defend the Company Group for all tax and other liabilities (including, without limitation, reasonable fees and expenses of attorneys and other professionals) arising out of or relating to Consultant’s failure to report and pay all employment income taxes or other taxes due on taxable amounts paid to or on behalf of Consultant by the Company Group.</w:t>
      </w:r>
    </w:p>
    <w:p>
      <w:pPr>
        <w:spacing w:after="0" w:line="207" w:lineRule="exact"/>
        <w:rPr>
          <w:rFonts w:ascii="Times New Roman" w:cs="Times New Roman" w:eastAsia="Times New Roman" w:hAnsi="Times New Roman"/>
          <w:sz w:val="21"/>
          <w:szCs w:val="21"/>
          <w:color w:val="auto"/>
        </w:rPr>
      </w:pPr>
    </w:p>
    <w:p>
      <w:pPr>
        <w:jc w:val="both"/>
        <w:ind w:firstLine="656"/>
        <w:spacing w:after="0" w:line="252" w:lineRule="auto"/>
        <w:tabs>
          <w:tab w:leader="none" w:pos="115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Rights</w:t>
      </w:r>
      <w:r>
        <w:rPr>
          <w:rFonts w:ascii="Times New Roman" w:cs="Times New Roman" w:eastAsia="Times New Roman" w:hAnsi="Times New Roman"/>
          <w:sz w:val="21"/>
          <w:szCs w:val="21"/>
          <w:color w:val="auto"/>
        </w:rPr>
        <w:t>. For avoidance of doubt, this Agreement does not prohibit or restrict (a) a disclosure required by applicable law, so long as Consultant provides the Company prompt written notice of any such potential disclosure and reasonably cooperates with the Company to prevent or limit such disclosure, to the extent lawful; (b) a right to participate in any proceeding by, or to communicate with, a government official or agency regarding a potential violation of law, including without limitation the Securities and Exchange Commission, the Occupational Safety and Health Administration, and the Equal Employment Opportunity Commission; and (c) communications with Consultant’s attorney.</w:t>
      </w:r>
    </w:p>
    <w:p>
      <w:pPr>
        <w:spacing w:after="0" w:line="206" w:lineRule="exact"/>
        <w:rPr>
          <w:rFonts w:ascii="Times New Roman" w:cs="Times New Roman" w:eastAsia="Times New Roman" w:hAnsi="Times New Roman"/>
          <w:sz w:val="21"/>
          <w:szCs w:val="21"/>
          <w:color w:val="auto"/>
        </w:rPr>
      </w:pPr>
    </w:p>
    <w:p>
      <w:pPr>
        <w:ind w:firstLine="656"/>
        <w:spacing w:after="0" w:line="283" w:lineRule="auto"/>
        <w:tabs>
          <w:tab w:leader="none" w:pos="10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Subject to any limits on applicability contained therein, Section 3 hereof shall survive and continue in full force in accordance with its terms notwithstanding any termination of this Agreement.</w:t>
      </w:r>
    </w:p>
    <w:p>
      <w:pPr>
        <w:spacing w:after="0" w:line="173" w:lineRule="exact"/>
        <w:rPr>
          <w:rFonts w:ascii="Times New Roman" w:cs="Times New Roman" w:eastAsia="Times New Roman" w:hAnsi="Times New Roman"/>
          <w:sz w:val="21"/>
          <w:szCs w:val="21"/>
          <w:color w:val="auto"/>
        </w:rPr>
      </w:pPr>
    </w:p>
    <w:p>
      <w:pPr>
        <w:jc w:val="both"/>
        <w:ind w:firstLine="656"/>
        <w:spacing w:after="0" w:line="255" w:lineRule="auto"/>
        <w:tabs>
          <w:tab w:leader="none" w:pos="105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manner as to be effective and valid under applicable law, but if any provision of this Agreement is held to be invalid or unenforceable in any respect under any applicable law following any revision pursuant to Section 3(i) above, such invalidity or unenforceability shall not affect any other provision, but this Agreement shall be reformed, construed and enforced as if such invalid or unenforceable provision had never been contained herein.</w:t>
      </w:r>
    </w:p>
    <w:p>
      <w:pPr>
        <w:spacing w:after="0" w:line="202" w:lineRule="exact"/>
        <w:rPr>
          <w:rFonts w:ascii="Times New Roman" w:cs="Times New Roman" w:eastAsia="Times New Roman" w:hAnsi="Times New Roman"/>
          <w:sz w:val="21"/>
          <w:szCs w:val="21"/>
          <w:color w:val="auto"/>
        </w:rPr>
      </w:pPr>
    </w:p>
    <w:p>
      <w:pPr>
        <w:jc w:val="both"/>
        <w:ind w:firstLine="656"/>
        <w:spacing w:after="0" w:line="252" w:lineRule="auto"/>
        <w:tabs>
          <w:tab w:leader="none" w:pos="106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highlight w:val="white"/>
        </w:rPr>
        <w:t>. This Agreement (which includes Exhibit A) embodies the complete agreement and understanding</w:t>
      </w:r>
      <w:r>
        <w:rPr>
          <w:rFonts w:ascii="Times New Roman" w:cs="Times New Roman" w:eastAsia="Times New Roman" w:hAnsi="Times New Roman"/>
          <w:sz w:val="21"/>
          <w:szCs w:val="21"/>
          <w:color w:val="auto"/>
        </w:rPr>
        <w:t xml:space="preserve"> between the parties with respect to the subject matter hereof and effective as of its date supersedes and preempts any prior understandings, agreements or representations by or between the parties, written or oral, which may have related to the subject matter hereof in any way, provided that it does not supersede and Consultant expressly reaffirms Consultant’s agreement to comply with any other post-employment or engagement obligations that Consultant may have to the Company Group under the Initial Release and the Confidentiality, Work Product, Non Solicitation of Clients, and Non Solicitation of Employees covenants included in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6" w:right="339" w:bottom="1440" w:gutter="0" w:footer="0" w:header="0"/>
        </w:sectPr>
      </w:pPr>
    </w:p>
    <w:bookmarkStart w:id="56" w:name="page57"/>
    <w:bookmarkEnd w:id="56"/>
    <w:p>
      <w:pPr>
        <w:jc w:val="both"/>
        <w:spacing w:after="0" w:line="262" w:lineRule="auto"/>
        <w:rPr>
          <w:sz w:val="20"/>
          <w:szCs w:val="20"/>
          <w:color w:val="auto"/>
        </w:rPr>
      </w:pPr>
      <w:r>
        <w:rPr>
          <w:rFonts w:ascii="Times New Roman" w:cs="Times New Roman" w:eastAsia="Times New Roman" w:hAnsi="Times New Roman"/>
          <w:sz w:val="21"/>
          <w:szCs w:val="21"/>
          <w:color w:val="auto"/>
        </w:rPr>
        <w:t>Confidentiality and Non-Solicitation Agreement between Consultant and the Company dated April 6, 2004) or an agreement to arbitrate claims (“</w:t>
      </w:r>
      <w:r>
        <w:rPr>
          <w:rFonts w:ascii="Times New Roman" w:cs="Times New Roman" w:eastAsia="Times New Roman" w:hAnsi="Times New Roman"/>
          <w:sz w:val="21"/>
          <w:szCs w:val="21"/>
          <w:u w:val="single" w:color="auto"/>
          <w:color w:val="auto"/>
        </w:rPr>
        <w:t>Existing Obligations</w:t>
      </w:r>
      <w:r>
        <w:rPr>
          <w:rFonts w:ascii="Times New Roman" w:cs="Times New Roman" w:eastAsia="Times New Roman" w:hAnsi="Times New Roman"/>
          <w:sz w:val="21"/>
          <w:szCs w:val="21"/>
          <w:color w:val="auto"/>
          <w:highlight w:val="white"/>
        </w:rPr>
        <w:t>”), which are incorporated herein by reference, and those Existing Obligations shall remain in</w:t>
      </w:r>
      <w:r>
        <w:rPr>
          <w:rFonts w:ascii="Times New Roman" w:cs="Times New Roman" w:eastAsia="Times New Roman" w:hAnsi="Times New Roman"/>
          <w:sz w:val="21"/>
          <w:szCs w:val="21"/>
          <w:color w:val="auto"/>
        </w:rPr>
        <w:t xml:space="preserve"> full force and effect pursuant to the terms of such agreements.</w:t>
      </w:r>
    </w:p>
    <w:p>
      <w:pPr>
        <w:spacing w:after="0" w:line="195" w:lineRule="exact"/>
        <w:rPr>
          <w:sz w:val="20"/>
          <w:szCs w:val="20"/>
          <w:color w:val="auto"/>
        </w:rPr>
      </w:pPr>
    </w:p>
    <w:p>
      <w:pPr>
        <w:ind w:firstLine="656"/>
        <w:spacing w:after="0" w:line="283" w:lineRule="auto"/>
        <w:tabs>
          <w:tab w:leader="none" w:pos="106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shall be deemed an original and both of which together shall constitute one agreement.</w:t>
      </w:r>
    </w:p>
    <w:p>
      <w:pPr>
        <w:spacing w:after="0" w:line="173" w:lineRule="exact"/>
        <w:rPr>
          <w:rFonts w:ascii="Times New Roman" w:cs="Times New Roman" w:eastAsia="Times New Roman" w:hAnsi="Times New Roman"/>
          <w:sz w:val="21"/>
          <w:szCs w:val="21"/>
          <w:color w:val="auto"/>
        </w:rPr>
      </w:pPr>
    </w:p>
    <w:p>
      <w:pPr>
        <w:jc w:val="both"/>
        <w:ind w:firstLine="656"/>
        <w:spacing w:after="0" w:line="252" w:lineRule="auto"/>
        <w:tabs>
          <w:tab w:leader="none" w:pos="119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highlight w:val="white"/>
        </w:rPr>
        <w:t>. This Agreement shall bind and inure to the benefit of and be enforceable by Consultant, the</w:t>
      </w:r>
      <w:r>
        <w:rPr>
          <w:rFonts w:ascii="Times New Roman" w:cs="Times New Roman" w:eastAsia="Times New Roman" w:hAnsi="Times New Roman"/>
          <w:sz w:val="21"/>
          <w:szCs w:val="21"/>
          <w:color w:val="auto"/>
        </w:rPr>
        <w:t xml:space="preserve"> Company and their respective heirs, executors, personal representatives, successors and assigns, except that neither party may assign any rights or delegate any obligations hereunder without the prior written consent of the other party. Consultant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206" w:lineRule="exact"/>
        <w:rPr>
          <w:rFonts w:ascii="Times New Roman" w:cs="Times New Roman" w:eastAsia="Times New Roman" w:hAnsi="Times New Roman"/>
          <w:sz w:val="21"/>
          <w:szCs w:val="21"/>
          <w:color w:val="auto"/>
        </w:rPr>
      </w:pPr>
    </w:p>
    <w:p>
      <w:pPr>
        <w:ind w:firstLine="656"/>
        <w:spacing w:after="0" w:line="283" w:lineRule="auto"/>
        <w:tabs>
          <w:tab w:leader="none" w:pos="111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Agreement shall be governed by, and construed in accordance with, the internal, substantive laws of the State of Ohio.</w:t>
      </w:r>
    </w:p>
    <w:p>
      <w:pPr>
        <w:spacing w:after="0" w:line="173" w:lineRule="exact"/>
        <w:rPr>
          <w:rFonts w:ascii="Times New Roman" w:cs="Times New Roman" w:eastAsia="Times New Roman" w:hAnsi="Times New Roman"/>
          <w:sz w:val="21"/>
          <w:szCs w:val="21"/>
          <w:color w:val="auto"/>
        </w:rPr>
      </w:pPr>
    </w:p>
    <w:p>
      <w:pPr>
        <w:jc w:val="both"/>
        <w:ind w:firstLine="656"/>
        <w:spacing w:after="0" w:line="249" w:lineRule="auto"/>
        <w:tabs>
          <w:tab w:leader="none" w:pos="115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Unless prohibited as a matter of law from being adjudicated in arbitration, any and all disputes between the Company and Consultant (referred to in this Section as the “Parties” or individually as a “Party”) arising out of, or relating to, this Agreement shall be submitted to final and binding arbitration before JAMS, in Cleveland, Ohio, for resolution in accordance with the JAMS Comprehensive Arbitration Rules &amp; Procedures. The arbitration will be governed by the Federal Arbitration Act, 9 U.S.C. § 1 et seq. (the “FAA”). The Parties waive any and all rights to a judge or jury trial and/or administrative hearing of their disputes and agree to resolve such disputes only though final and binding individual arbitration to the fullest extent permitted by law. The decision of the arbitrator shall be final and binding upon the Parties and shall be rendered pursuant to a written decision, which contains a detailed recital of the arbitrator’s reasoning. Judgment upon the award rendered may be entered in any court of competent jurisdiction in Cleveland, Ohio. Each of the Parties shall bear its own legal fees and expenses, unless otherwise determined by the arbitrator, and each Party shall bear an equal portion of the arbitrator’s and arbitral forum’s fees. Notwithstanding the foregoing, a Party may apply to a court of competent jurisdiction in Cleveland, Ohio for temporary or preliminary injunctive relief in connection with any controversy arbitrable under this Agreement, but only upon the ground that the award to which the Party may be entitled may be rendered ineffectual without such provisional relief.</w:t>
      </w:r>
    </w:p>
    <w:p>
      <w:pPr>
        <w:spacing w:after="0" w:line="212" w:lineRule="exact"/>
        <w:rPr>
          <w:rFonts w:ascii="Times New Roman" w:cs="Times New Roman" w:eastAsia="Times New Roman" w:hAnsi="Times New Roman"/>
          <w:sz w:val="21"/>
          <w:szCs w:val="21"/>
          <w:color w:val="auto"/>
        </w:rPr>
      </w:pPr>
    </w:p>
    <w:p>
      <w:pPr>
        <w:jc w:val="both"/>
        <w:ind w:firstLine="656"/>
        <w:spacing w:after="0" w:line="252" w:lineRule="auto"/>
        <w:tabs>
          <w:tab w:leader="none" w:pos="123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provisions of this Agreement may be amended or waived only with the prior written consent of the Company and Consultant, and no course of conduct or failure or delay in enforcing the provisions of this Agreement shall affect the validity, binding effect or enforceability of this Agreement. Notwithstanding the foregoing, Company or Consultant may apply to a court of competent jurisdiction in Cleveland, Ohio for temporary or preliminary injunctive relief in connection with an arbitrable controversy, but only upon the ground that an award to which that party may be entitled may be rendered ineffectual without such provisional relief.</w:t>
      </w:r>
    </w:p>
    <w:p>
      <w:pPr>
        <w:spacing w:after="0" w:line="220"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16" w:right="339" w:bottom="1440" w:gutter="0" w:footer="0" w:header="0"/>
        </w:sectPr>
      </w:pPr>
    </w:p>
    <w:bookmarkStart w:id="57" w:name="page58"/>
    <w:bookmarkEnd w:id="57"/>
    <w:p>
      <w:pPr>
        <w:jc w:val="both"/>
        <w:ind w:firstLine="1304"/>
        <w:spacing w:after="0" w:line="250" w:lineRule="auto"/>
        <w:tabs>
          <w:tab w:leader="none" w:pos="1755"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agrees that, during the Term and for a period thereafter equal to the longest vesting period on any performance share units of the Company held by Consultant, Consultant agrees that: (a) Consultant will not accept or serve in a financial reporting oversight role or key position, including in a board role, at any attest client (or affiliated entity thereof) of CBIZ CPAs P.C. (“CBIZ CPAs”), (b) Consultant and Consultant’s immediate family members will not hold greater than a 5% ownership interest in any attest client (or affiliated entity thereof) of CBIZ CPAs, (c) Consultant and Consultant’s close family members will not control any attest client (or affiliated entity thereof) of CBIZ CPAs, and (d) Consultant shall consult with the Chief Independence and Ethics Officer of CBIZ CPAs, Rashi Ray, prior to accepting any new board position or other role that may constitute a financial reporting oversight role or key position, and/or prior to investing as a beneficial owner in more than 5% of the equity securities of any entity.</w:t>
      </w:r>
    </w:p>
    <w:p>
      <w:pPr>
        <w:spacing w:after="0" w:line="220" w:lineRule="exact"/>
        <w:rPr>
          <w:rFonts w:ascii="Times New Roman" w:cs="Times New Roman" w:eastAsia="Times New Roman" w:hAnsi="Times New Roman"/>
          <w:sz w:val="21"/>
          <w:szCs w:val="21"/>
          <w:color w:val="auto"/>
        </w:rPr>
      </w:pPr>
    </w:p>
    <w:p>
      <w:pPr>
        <w:ind w:left="1660" w:hanging="356"/>
        <w:spacing w:after="0"/>
        <w:tabs>
          <w:tab w:leader="none" w:pos="166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14(a) above, the following definitions shall apply:</w:t>
      </w:r>
    </w:p>
    <w:p>
      <w:pPr>
        <w:spacing w:after="0" w:line="244"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0"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reporting oversight role” shall mean a role in which a person is in a position to or does exercise influence over the contents of an entity’s financial statements or anyone who prepares them, such as when the person is a member of the board of directors or similar management or governing body, chief executive officer, president, chief financial officer, chief operating officer, general counsel, chief accounting officer, controller, director of internal audit, director of financial reporting, treasurer, or any equivalent position.</w:t>
      </w:r>
    </w:p>
    <w:p>
      <w:pPr>
        <w:spacing w:after="0" w:line="217" w:lineRule="exact"/>
        <w:rPr>
          <w:rFonts w:ascii="Times New Roman" w:cs="Times New Roman" w:eastAsia="Times New Roman" w:hAnsi="Times New Roman"/>
          <w:sz w:val="21"/>
          <w:szCs w:val="21"/>
          <w:color w:val="auto"/>
        </w:rPr>
      </w:pPr>
    </w:p>
    <w:p>
      <w:pPr>
        <w:jc w:val="both"/>
        <w:ind w:firstLine="1952"/>
        <w:spacing w:after="0" w:line="250" w:lineRule="auto"/>
        <w:tabs>
          <w:tab w:leader="none" w:pos="2583"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“Key position” means a position in which an individual has (A) primary responsibility for significant accounting functions that support material components of the financial statements; (B) primary responsibility for the preparation of the financial statements; or (C) the ability to exercise influence over the contents of the financial statements, including when the individual is a member of the board of directors or similar governing body, chief executive officer, president, chief financial officer, chief operating officer, general counsel, chief accounting officer, controller, director of internal audit, director of financial reporting, treasurer, or any equivalent position. For purposes of attest engagements not involving financial statements, a key position is one in which an individual is primarily responsible for, or able to influence, the subject matter of the attest engagement.</w:t>
      </w:r>
    </w:p>
    <w:p>
      <w:pPr>
        <w:spacing w:after="0" w:line="223"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 family member” means a person’s spouse, spousal equivalent, or dependents.</w:t>
      </w:r>
    </w:p>
    <w:p>
      <w:pPr>
        <w:spacing w:after="0" w:line="244"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 family member” means a person’s spouse, spousal equivalent, parent, dependent, nondependent</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child, and sibling.</w:t>
      </w:r>
    </w:p>
    <w:p>
      <w:pPr>
        <w:spacing w:after="0" w:line="234" w:lineRule="exact"/>
        <w:rPr>
          <w:rFonts w:ascii="Times New Roman" w:cs="Times New Roman" w:eastAsia="Times New Roman" w:hAnsi="Times New Roman"/>
          <w:sz w:val="20"/>
          <w:szCs w:val="20"/>
          <w:color w:val="auto"/>
        </w:rPr>
      </w:pPr>
    </w:p>
    <w:p>
      <w:pPr>
        <w:jc w:val="both"/>
        <w:ind w:firstLine="1952"/>
        <w:spacing w:after="0" w:line="262" w:lineRule="auto"/>
        <w:tabs>
          <w:tab w:leader="none" w:pos="2572"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“Control” (including the terms controlling,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94" w:lineRule="exact"/>
        <w:rPr>
          <w:rFonts w:ascii="Times New Roman" w:cs="Times New Roman" w:eastAsia="Times New Roman" w:hAnsi="Times New Roman"/>
          <w:sz w:val="21"/>
          <w:szCs w:val="21"/>
          <w:color w:val="auto"/>
        </w:rPr>
      </w:pPr>
    </w:p>
    <w:p>
      <w:pPr>
        <w:jc w:val="both"/>
        <w:ind w:firstLine="656"/>
        <w:spacing w:after="0" w:line="255" w:lineRule="auto"/>
        <w:tabs>
          <w:tab w:leader="none" w:pos="115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 Compliance</w:t>
      </w:r>
      <w:r>
        <w:rPr>
          <w:rFonts w:ascii="Times New Roman" w:cs="Times New Roman" w:eastAsia="Times New Roman" w:hAnsi="Times New Roman"/>
          <w:sz w:val="21"/>
          <w:szCs w:val="21"/>
          <w:color w:val="auto"/>
          <w:highlight w:val="white"/>
        </w:rPr>
        <w:t>. This Agreement is intended to be operated in compliance with the provisions of Code</w:t>
      </w:r>
      <w:r>
        <w:rPr>
          <w:rFonts w:ascii="Times New Roman" w:cs="Times New Roman" w:eastAsia="Times New Roman" w:hAnsi="Times New Roman"/>
          <w:sz w:val="21"/>
          <w:szCs w:val="21"/>
          <w:color w:val="auto"/>
        </w:rPr>
        <w:t xml:space="preserve"> Section 409A. In the event that any provision of this Agreement fails to satisfy the provisions of Code Section 409A and cannot be amended, modified, or terminated, then such provision shall be void and shall not apply to Consultant, to the extent practicable. In the event that it is determined to not be feasible to so void a provision of this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16" w:right="339" w:bottom="1440" w:gutter="0" w:footer="0" w:header="0"/>
        </w:sectPr>
      </w:pPr>
    </w:p>
    <w:bookmarkStart w:id="58" w:name="page59"/>
    <w:bookmarkEnd w:id="58"/>
    <w:p>
      <w:pPr>
        <w:jc w:val="both"/>
        <w:spacing w:after="0" w:line="251" w:lineRule="auto"/>
        <w:rPr>
          <w:sz w:val="20"/>
          <w:szCs w:val="20"/>
          <w:color w:val="auto"/>
        </w:rPr>
      </w:pPr>
      <w:r>
        <w:rPr>
          <w:rFonts w:ascii="Times New Roman" w:cs="Times New Roman" w:eastAsia="Times New Roman" w:hAnsi="Times New Roman"/>
          <w:sz w:val="21"/>
          <w:szCs w:val="21"/>
          <w:color w:val="auto"/>
        </w:rPr>
        <w:t>Agreement as it applies to any amount payable to or on behalf of Consultant, such provision shall be construed in a manner so as to comply with the requirements of Code Section 409A. In the event Consultant is a “Specified Employee” (as defined under Code Section 409A) upon Consultant’s Separation Date, then any and all payments or benefits provided under this Agreement or otherwise that are “deferred compensation” under Code Section 409A and paid on account of a “separation from service” shall commence being paid at the date which is the earlier of (a) the expiration of the six (6) month period after Consultant’s “separation from service” or (b) Consultant’s death. At such time, Consultant shall receive one lump sum catch-up payment equal to the amount that would have been paid over the previous six (6) month period or the period prior to death, as applicable. All remaining benefits or payments, if any, shall be paid as otherwise provided for under this Agreement or applicable arrangement.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above written.</w:t>
      </w:r>
    </w:p>
    <w:p>
      <w:pPr>
        <w:spacing w:after="0" w:line="2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CBIZ, INC.</w:t>
      </w:r>
    </w:p>
    <w:p>
      <w:pPr>
        <w:spacing w:after="0" w:line="299"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21"/>
          <w:szCs w:val="21"/>
          <w:b w:val="1"/>
          <w:bCs w:val="1"/>
          <w:color w:val="auto"/>
        </w:rPr>
        <w:t>By:</w:t>
      </w:r>
      <w:r>
        <w:rPr>
          <w:sz w:val="20"/>
          <w:szCs w:val="20"/>
          <w:color w:val="auto"/>
        </w:rPr>
        <w:tab/>
      </w:r>
      <w:r>
        <w:rPr>
          <w:rFonts w:ascii="Times New Roman" w:cs="Times New Roman" w:eastAsia="Times New Roman" w:hAnsi="Times New Roman"/>
          <w:sz w:val="21"/>
          <w:szCs w:val="21"/>
          <w:color w:val="auto"/>
        </w:rPr>
        <w:t>/s/ Elizabeth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-10795</wp:posOffset>
            </wp:positionV>
            <wp:extent cx="1554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Name: Elizabeth Newman</w:t>
      </w:r>
    </w:p>
    <w:p>
      <w:pPr>
        <w:spacing w:after="0" w:line="110" w:lineRule="exact"/>
        <w:rPr>
          <w:sz w:val="20"/>
          <w:szCs w:val="20"/>
          <w:color w:val="auto"/>
        </w:rPr>
      </w:pPr>
    </w:p>
    <w:p>
      <w:pPr>
        <w:ind w:left="1460"/>
        <w:spacing w:after="0"/>
        <w:tabs>
          <w:tab w:leader="none" w:pos="20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Human Resources Officer</w:t>
      </w:r>
    </w:p>
    <w:p>
      <w:pPr>
        <w:spacing w:after="0" w:line="3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CONSULTANT</w:t>
      </w:r>
    </w:p>
    <w:p>
      <w:pPr>
        <w:spacing w:after="0" w:line="200" w:lineRule="exact"/>
        <w:rPr>
          <w:sz w:val="20"/>
          <w:szCs w:val="20"/>
          <w:color w:val="auto"/>
        </w:rPr>
      </w:pPr>
    </w:p>
    <w:p>
      <w:pPr>
        <w:spacing w:after="0" w:line="29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 Chris Spurio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-12065</wp:posOffset>
            </wp:positionV>
            <wp:extent cx="1350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Chris Spurio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16" w:right="339" w:bottom="1440" w:gutter="0" w:footer="0" w:header="0"/>
        </w:sectPr>
      </w:pPr>
    </w:p>
    <w:bookmarkStart w:id="59" w:name="page60"/>
    <w:bookmarkEnd w:id="59"/>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22"/>
          <w:szCs w:val="22"/>
          <w:b w:val="1"/>
          <w:bCs w:val="1"/>
          <w:color w:val="auto"/>
        </w:rPr>
        <w:t>Release of Claims at Conclusion of Term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139"/>
          </w:cols>
          <w:pgMar w:left="320" w:top="1418"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certify that:</w:t>
      </w:r>
    </w:p>
    <w:p>
      <w:pPr>
        <w:spacing w:after="0" w:line="11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Lakhia, certify that:</w:t>
      </w:r>
    </w:p>
    <w:p>
      <w:pPr>
        <w:spacing w:after="0" w:line="11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LAKHIA</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Lakhia</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March 31, 2026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the President and Chief Executive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March 31, 2026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Lakhia, the Chief Financial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LAKHIA</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Lakhia</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lowerRoman"/>
      <w:start w:val="3"/>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
      <w:numFmt w:val="bullet"/>
      <w:start w:val="1"/>
    </w:lvl>
    <w:lvl w:ilvl="1">
      <w:lvlJc w:val="left"/>
      <w:lvlText w:val="%2"/>
      <w:numFmt w:val="decimal"/>
      <w:start w:val="104"/>
    </w:lvl>
  </w:abstractNum>
  <w:abstractNum w:abstractNumId="12">
    <w:nsid w:val="6CEAF087"/>
    <w:multiLevelType w:val="hybridMultilevel"/>
    <w:lvl w:ilvl="0">
      <w:lvlJc w:val="left"/>
      <w:lvlText w:val="**"/>
      <w:numFmt w:val="bullet"/>
      <w:start w:val="1"/>
    </w:lvl>
    <w:lvl w:ilvl="1">
      <w:lvlJc w:val="left"/>
      <w:lvlText w:val="%2"/>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lvl w:ilvl="1">
      <w:lvlJc w:val="left"/>
      <w:lvlText w:val="%2)"/>
      <w:numFmt w:val="lowerLetter"/>
      <w:start w:val="1"/>
    </w:lvl>
  </w:abstractNum>
  <w:abstractNum w:abstractNumId="15">
    <w:nsid w:val="3006C83E"/>
    <w:multiLevelType w:val="hybridMultilevel"/>
    <w:lvl w:ilvl="0">
      <w:lvlJc w:val="left"/>
      <w:lvlText w:val="1"/>
      <w:numFmt w:val="bullet"/>
      <w:start w:val="1"/>
    </w:lvl>
  </w:abstractNum>
  <w:abstractNum w:abstractNumId="16">
    <w:nsid w:val="614FD4A1"/>
    <w:multiLevelType w:val="hybridMultilevel"/>
    <w:lvl w:ilvl="0">
      <w:lvlJc w:val="left"/>
      <w:lvlText w:val="2"/>
      <w:numFmt w:val="bullet"/>
      <w:start w:val="1"/>
    </w:lvl>
  </w:abstractNum>
  <w:abstractNum w:abstractNumId="17">
    <w:nsid w:val="419AC241"/>
    <w:multiLevelType w:val="hybridMultilevel"/>
    <w:lvl w:ilvl="0">
      <w:lvlJc w:val="left"/>
      <w:lvlText w:val="%1"/>
      <w:numFmt w:val="lowerLetter"/>
      <w:start w:val="1"/>
    </w:lvl>
    <w:lvl w:ilvl="1">
      <w:lvlJc w:val="left"/>
      <w:lvlText w:val="(%2)"/>
      <w:numFmt w:val="lowerRoman"/>
      <w:start w:val="1"/>
    </w:lvl>
  </w:abstractNum>
  <w:abstractNum w:abstractNumId="18">
    <w:nsid w:val="5577F8E1"/>
    <w:multiLevelType w:val="hybridMultilevel"/>
    <w:lvl w:ilvl="0">
      <w:lvlJc w:val="left"/>
      <w:lvlText w:val="%1)"/>
      <w:numFmt w:val="lowerLetter"/>
      <w:start w:val="3"/>
    </w:lvl>
    <w:lvl w:ilvl="1">
      <w:lvlJc w:val="left"/>
      <w:lvlText w:val="(%2)"/>
      <w:numFmt w:val="lowerRoman"/>
      <w:start w:val="1"/>
    </w:lvl>
  </w:abstractNum>
  <w:abstractNum w:abstractNumId="19">
    <w:nsid w:val="440BADFC"/>
    <w:multiLevelType w:val="hybridMultilevel"/>
    <w:lvl w:ilvl="0">
      <w:lvlJc w:val="left"/>
      <w:lvlText w:val="%1)"/>
      <w:numFmt w:val="lowerLetter"/>
      <w:start w:val="7"/>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5"/>
    </w:lvl>
    <w:lvl w:ilvl="1">
      <w:lvlJc w:val="left"/>
      <w:lvlText w:val="%2)"/>
      <w:numFmt w:val="lowerLetter"/>
      <w:start w:val="1"/>
    </w:lvl>
  </w:abstractNum>
  <w:abstractNum w:abstractNumId="22">
    <w:nsid w:val="77465F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
    <w:nsid w:val="7724C67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4">
    <w:nsid w:val="5C482A97"/>
    <w:multiLevelType w:val="hybridMultilevel"/>
    <w:lvl w:ilvl="0">
      <w:lvlJc w:val="left"/>
      <w:lvlText w:val="%1)"/>
      <w:numFmt w:val="lowerLetter"/>
      <w:start w:val="2"/>
    </w:lvl>
    <w:lvl w:ilvl="1">
      <w:lvlJc w:val="left"/>
      <w:lvlText w:val="(%2)"/>
      <w:numFmt w:val="lowerRoman"/>
      <w:start w:val="1"/>
    </w:lvl>
  </w:abstractNum>
  <w:abstractNum w:abstractNumId="25">
    <w:nsid w:val="2463B9EA"/>
    <w:multiLevelType w:val="hybridMultilevel"/>
    <w:lvl w:ilvl="0">
      <w:lvlJc w:val="left"/>
      <w:lvlText w:val="%1)"/>
      <w:numFmt w:val="lowerLetter"/>
      <w:start w:val="3"/>
    </w:lvl>
    <w:lvl w:ilvl="1">
      <w:lvlJc w:val="left"/>
      <w:lvlText w:val="(%2)"/>
      <w:numFmt w:val="lowerRoman"/>
      <w:start w:val="1"/>
    </w:lvl>
  </w:abstractNum>
  <w:abstractNum w:abstractNumId="26">
    <w:nsid w:val="5E884ADC"/>
    <w:multiLevelType w:val="hybridMultilevel"/>
    <w:lvl w:ilvl="0">
      <w:lvlJc w:val="left"/>
      <w:lvlText w:val="%1)"/>
      <w:numFmt w:val="lowerLetter"/>
      <w:start w:val="5"/>
    </w:lvl>
    <w:lvl w:ilvl="1">
      <w:lvlJc w:val="left"/>
      <w:lvlText w:val="(%2)"/>
      <w:numFmt w:val="lowerRoman"/>
      <w:start w:val="1"/>
    </w:lvl>
  </w:abstractNum>
  <w:abstractNum w:abstractNumId="27">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
    <w:nsid w:val="2D51779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2">
    <w:nsid w:val="70A64E2A"/>
    <w:multiLevelType w:val="hybridMultilevel"/>
    <w:lvl w:ilvl="0">
      <w:lvlJc w:val="left"/>
      <w:lvlText w:val="%1)"/>
      <w:numFmt w:val="decimal"/>
      <w:start w:val="13"/>
    </w:lvl>
  </w:abstractNum>
  <w:abstractNum w:abstractNumId="33">
    <w:nsid w:val="6A2342EC"/>
    <w:multiLevelType w:val="hybridMultilevel"/>
    <w:lvl w:ilvl="0">
      <w:lvlJc w:val="left"/>
      <w:lvlText w:val="%1)"/>
      <w:numFmt w:val="decimal"/>
      <w:start w:val="18"/>
    </w:lvl>
    <w:lvl w:ilvl="1">
      <w:lvlJc w:val="left"/>
      <w:lvlText w:val="%2)"/>
      <w:numFmt w:val="lowerLetter"/>
      <w:start w:val="1"/>
    </w:lvl>
  </w:abstractNum>
  <w:abstractNum w:abstractNumId="34">
    <w:nsid w:val="2A487CB0"/>
    <w:multiLevelType w:val="hybridMultilevel"/>
    <w:lvl w:ilvl="0">
      <w:lvlJc w:val="left"/>
      <w:lvlText w:val="%1)"/>
      <w:numFmt w:val="decimal"/>
      <w:start w:val="21"/>
    </w:lvl>
  </w:abstractNum>
  <w:abstractNum w:abstractNumId="35">
    <w:nsid w:val="1D4ED43B"/>
    <w:multiLevelType w:val="hybridMultilevel"/>
    <w:lvl w:ilvl="0">
      <w:lvlJc w:val="left"/>
      <w:lvlText w:val="%1)"/>
      <w:numFmt w:val="decimal"/>
      <w:start w:val="22"/>
    </w:lvl>
  </w:abstractNum>
  <w:abstractNum w:abstractNumId="36">
    <w:nsid w:val="725A06FB"/>
    <w:multiLevelType w:val="hybridMultilevel"/>
    <w:lvl w:ilvl="0">
      <w:lvlJc w:val="left"/>
      <w:lvlText w:val="%1."/>
      <w:numFmt w:val="decimal"/>
      <w:start w:val="1"/>
    </w:lvl>
    <w:lvl w:ilvl="1">
      <w:lvlJc w:val="left"/>
      <w:lvlText w:val="(%2)"/>
      <w:numFmt w:val="lowerLetter"/>
      <w:start w:val="1"/>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9">
    <w:nsid w:val="7A6D8D3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0">
    <w:nsid w:val="4B588F5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41">
    <w:nsid w:val="542289EC"/>
    <w:multiLevelType w:val="hybridMultilevel"/>
    <w:lvl w:ilvl="0">
      <w:lvlJc w:val="left"/>
      <w:lvlText w:val="(%1)"/>
      <w:numFmt w:val="lowerLetter"/>
      <w:start w:val="3"/>
    </w:lvl>
  </w:abstractNum>
  <w:abstractNum w:abstractNumId="42">
    <w:nsid w:val="6DE91B18"/>
    <w:multiLevelType w:val="hybridMultilevel"/>
    <w:lvl w:ilvl="0">
      <w:lvlJc w:val="left"/>
      <w:lvlText w:val="(%1)"/>
      <w:numFmt w:val="lowerLetter"/>
      <w:start w:val="7"/>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684A481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7" Type="http://schemas.openxmlformats.org/officeDocument/2006/relationships/hyperlink" Target="https://www.sec.gov/Archives/edgar/data/944148/000094414826000038/exhibit106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2026-04-30T08:03:08Z</dcterms:created>
  <dcterms:modified xsi:type="dcterms:W3CDTF">2026-04-30T08:03:08Z</dcterms:modified>
</cp:coreProperties>
</file>