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74930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111125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16" w:lineRule="exact"/>
        <w:rPr>
          <w:sz w:val="24"/>
          <w:szCs w:val="24"/>
          <w:color w:val="auto"/>
        </w:rPr>
      </w:pPr>
    </w:p>
    <w:p>
      <w:pPr>
        <w:ind w:left="660" w:right="400" w:hanging="634"/>
        <w:spacing w:after="0" w:line="247"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660" w:right="40" w:hanging="634"/>
        <w:spacing w:after="0" w:line="247" w:lineRule="auto"/>
        <w:tabs>
          <w:tab w:leader="none" w:pos="6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1-32961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CBIZ,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organization)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5959 Rockside Woods, N. Suite 600 Independence, Ohio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22-2769024</w:t>
      </w:r>
    </w:p>
    <w:p>
      <w:pPr>
        <w:spacing w:after="0" w:line="33"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Identification No.)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44131</w:t>
      </w:r>
    </w:p>
    <w:p>
      <w:pPr>
        <w:spacing w:after="0" w:line="33"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(Zip Code)</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(216) 447-9000</w:t>
      </w:r>
    </w:p>
    <w:p>
      <w:pPr>
        <w:spacing w:after="0" w:line="15"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(Registrant’s telephone number, including area code)</w:t>
      </w:r>
    </w:p>
    <w:p>
      <w:pPr>
        <w:spacing w:after="0" w:line="15"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83185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9" w:lineRule="exact"/>
        <w:rPr>
          <w:sz w:val="24"/>
          <w:szCs w:val="24"/>
          <w:color w:val="auto"/>
        </w:rPr>
      </w:pPr>
    </w:p>
    <w:tbl>
      <w:tblPr>
        <w:tblLayout w:type="fixed"/>
        <w:tblInd w:w="30" w:type="dxa"/>
        <w:tblCellMar>
          <w:top w:w="0" w:type="dxa"/>
          <w:left w:w="0" w:type="dxa"/>
          <w:bottom w:w="0" w:type="dxa"/>
          <w:right w:w="0" w:type="dxa"/>
        </w:tblCellMar>
      </w:tblPr>
      <w:tr>
        <w:trPr>
          <w:trHeight w:val="20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CBZ</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28"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28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30"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1" w:lineRule="exact"/>
        <w:rPr>
          <w:sz w:val="24"/>
          <w:szCs w:val="24"/>
          <w:color w:val="auto"/>
        </w:rPr>
      </w:pPr>
    </w:p>
    <w:p>
      <w:pPr>
        <w:spacing w:after="0" w:line="161" w:lineRule="exact"/>
        <w:tabs>
          <w:tab w:leader="none" w:pos="7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 of Common Stock</w:t>
            </w:r>
          </w:p>
        </w:tc>
        <w:tc>
          <w:tcPr>
            <w:tcW w:w="39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Outstanding at July 29, 2024</w:t>
            </w:r>
          </w:p>
        </w:tc>
        <w:tc>
          <w:tcPr>
            <w:tcW w:w="1920" w:type="dxa"/>
            <w:vAlign w:val="bottom"/>
            <w:gridSpan w:val="2"/>
          </w:tcPr>
          <w:p>
            <w:pPr>
              <w:spacing w:after="0"/>
              <w:rPr>
                <w:sz w:val="14"/>
                <w:szCs w:val="14"/>
                <w:color w:val="auto"/>
              </w:rPr>
            </w:pPr>
          </w:p>
        </w:tc>
      </w:tr>
      <w:tr>
        <w:trPr>
          <w:trHeight w:val="215"/>
        </w:trPr>
        <w:tc>
          <w:tcPr>
            <w:tcW w:w="7480" w:type="dxa"/>
            <w:vAlign w:val="bottom"/>
            <w:gridSpan w:val="3"/>
          </w:tcPr>
          <w:p>
            <w:pPr>
              <w:jc w:val="center"/>
              <w:ind w:right="1880"/>
              <w:spacing w:after="0"/>
              <w:rPr>
                <w:sz w:val="20"/>
                <w:szCs w:val="20"/>
                <w:color w:val="auto"/>
              </w:rPr>
            </w:pPr>
            <w:r>
              <w:rPr>
                <w:rFonts w:ascii="Arial" w:cs="Arial" w:eastAsia="Arial" w:hAnsi="Arial"/>
                <w:sz w:val="14"/>
                <w:szCs w:val="14"/>
                <w:color w:val="auto"/>
              </w:rPr>
              <w:t>Common Stock, $0.01 per share</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50,161,633</w:t>
            </w: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7"/>
        </w:trPr>
        <w:tc>
          <w:tcPr>
            <w:tcW w:w="20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568"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0000FF"/>
                <w:w w:val="91"/>
              </w:rPr>
              <w:t>PART I.</w:t>
            </w:r>
          </w:p>
        </w:tc>
        <w:tc>
          <w:tcPr>
            <w:tcW w:w="480" w:type="dxa"/>
            <w:vAlign w:val="bottom"/>
          </w:tcPr>
          <w:p>
            <w:pPr>
              <w:spacing w:after="0"/>
              <w:rPr>
                <w:sz w:val="17"/>
                <w:szCs w:val="17"/>
                <w:color w:val="auto"/>
              </w:rPr>
            </w:pPr>
          </w:p>
        </w:tc>
        <w:tc>
          <w:tcPr>
            <w:tcW w:w="9420" w:type="dxa"/>
            <w:vAlign w:val="bottom"/>
            <w:gridSpan w:val="24"/>
          </w:tcPr>
          <w:p>
            <w:pPr>
              <w:spacing w:after="0"/>
              <w:rPr>
                <w:sz w:val="20"/>
                <w:szCs w:val="20"/>
                <w:color w:val="auto"/>
              </w:rPr>
            </w:pPr>
            <w:r>
              <w:rPr>
                <w:rFonts w:ascii="Arial" w:cs="Arial" w:eastAsia="Arial" w:hAnsi="Arial"/>
                <w:sz w:val="18"/>
                <w:szCs w:val="18"/>
                <w:color w:val="0000FF"/>
              </w:rPr>
              <w:t>FINANCIAL INFORMATION:</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24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(Unaudited) – June 30, 2024 and December 31, 2023</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Income (Unaudited) – Three and Six Months</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8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Ended June 30, 2024 and 2023</w:t>
            </w:r>
          </w:p>
        </w:tc>
        <w:tc>
          <w:tcPr>
            <w:tcW w:w="5520" w:type="dxa"/>
            <w:vAlign w:val="bottom"/>
            <w:tcBorders>
              <w:top w:val="single" w:sz="8" w:color="0000FF"/>
            </w:tcBorders>
            <w:gridSpan w:val="9"/>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(Unaudited) – Three and Six Months</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6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Ended June 30, 2024 and 2023</w:t>
            </w:r>
          </w:p>
        </w:tc>
        <w:tc>
          <w:tcPr>
            <w:tcW w:w="5180" w:type="dxa"/>
            <w:vAlign w:val="bottom"/>
            <w:tcBorders>
              <w:top w:val="single" w:sz="8" w:color="0000FF"/>
            </w:tcBorders>
            <w:gridSpan w:val="6"/>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(Unaudited) – Six Months Ended June 30, 2024</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94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and 2023</w:t>
            </w:r>
          </w:p>
        </w:tc>
        <w:tc>
          <w:tcPr>
            <w:tcW w:w="300" w:type="dxa"/>
            <w:vAlign w:val="bottom"/>
            <w:gridSpan w:val="2"/>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20" w:type="dxa"/>
            <w:vAlign w:val="bottom"/>
            <w:gridSpan w:val="2"/>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2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gridSpan w:val="2"/>
          </w:tcPr>
          <w:p>
            <w:pPr>
              <w:spacing w:after="0"/>
              <w:rPr>
                <w:sz w:val="20"/>
                <w:szCs w:val="20"/>
                <w:color w:val="auto"/>
              </w:rPr>
            </w:pPr>
            <w:r>
              <w:rPr>
                <w:rFonts w:ascii="Arial" w:cs="Arial" w:eastAsia="Arial" w:hAnsi="Arial"/>
                <w:sz w:val="18"/>
                <w:szCs w:val="18"/>
                <w:color w:val="0000FF"/>
              </w:rPr>
              <w:t>PART II.</w:t>
            </w:r>
          </w:p>
        </w:tc>
        <w:tc>
          <w:tcPr>
            <w:tcW w:w="942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520" w:type="dxa"/>
            <w:vAlign w:val="bottom"/>
            <w:gridSpan w:val="2"/>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2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tcBorders>
              <w:left w:val="single" w:sz="8" w:color="0000FF"/>
            </w:tcBorders>
            <w:gridSpan w:val="3"/>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24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420" w:type="dxa"/>
            <w:vAlign w:val="bottom"/>
          </w:tcPr>
          <w:p>
            <w:pPr>
              <w:spacing w:after="0"/>
              <w:rPr>
                <w:sz w:val="24"/>
                <w:szCs w:val="24"/>
                <w:color w:val="auto"/>
              </w:rPr>
            </w:pPr>
          </w:p>
        </w:tc>
        <w:tc>
          <w:tcPr>
            <w:tcW w:w="82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2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0"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8,090</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44,947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30,362</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477,841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380,152</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38,892</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34,895</w:t>
            </w:r>
          </w:p>
        </w:tc>
        <w:tc>
          <w:tcPr>
            <w:tcW w:w="0" w:type="dxa"/>
            <w:vAlign w:val="bottom"/>
          </w:tcPr>
          <w:p>
            <w:pPr>
              <w:spacing w:after="0"/>
              <w:rPr>
                <w:sz w:val="1"/>
                <w:szCs w:val="1"/>
                <w:color w:val="auto"/>
              </w:rPr>
            </w:pPr>
          </w:p>
        </w:tc>
      </w:tr>
      <w:tr>
        <w:trPr>
          <w:trHeight w:val="200"/>
        </w:trPr>
        <w:tc>
          <w:tcPr>
            <w:tcW w:w="78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Current assets before funds held for clients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562,808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453,499</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Funds held for clients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131,128</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159,186</w:t>
            </w:r>
          </w:p>
        </w:tc>
        <w:tc>
          <w:tcPr>
            <w:tcW w:w="0" w:type="dxa"/>
            <w:vAlign w:val="bottom"/>
          </w:tcPr>
          <w:p>
            <w:pPr>
              <w:spacing w:after="0"/>
              <w:rPr>
                <w:sz w:val="1"/>
                <w:szCs w:val="1"/>
                <w:color w:val="auto"/>
              </w:rPr>
            </w:pPr>
          </w:p>
        </w:tc>
      </w:tr>
      <w:tr>
        <w:trPr>
          <w:trHeight w:val="200"/>
        </w:trPr>
        <w:tc>
          <w:tcPr>
            <w:tcW w:w="7800" w:type="dxa"/>
            <w:vAlign w:val="bottom"/>
            <w:shd w:val="clear" w:color="auto" w:fill="CFF0FC"/>
          </w:tcPr>
          <w:p>
            <w:pPr>
              <w:ind w:left="48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693,936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612,685</w:t>
            </w:r>
          </w:p>
        </w:tc>
        <w:tc>
          <w:tcPr>
            <w:tcW w:w="0" w:type="dxa"/>
            <w:vAlign w:val="bottom"/>
          </w:tcPr>
          <w:p>
            <w:pPr>
              <w:spacing w:after="0"/>
              <w:rPr>
                <w:sz w:val="1"/>
                <w:szCs w:val="1"/>
                <w:color w:val="auto"/>
              </w:rPr>
            </w:pPr>
          </w:p>
        </w:tc>
      </w:tr>
      <w:tr>
        <w:trPr>
          <w:trHeight w:val="202"/>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56,667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57,012</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1,035,148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1,008,604</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 of deferred compensation plan</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162,133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143,499</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Right-of-use assets, net</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203,972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211,024</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8,949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10,768</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4"/>
                <w:szCs w:val="14"/>
                <w:b w:val="1"/>
                <w:bCs w:val="1"/>
                <w:color w:val="auto"/>
              </w:rPr>
              <w:t>Total non-current assets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1,466,869</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1,430,907</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2,160,805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2,043,592</w:t>
            </w:r>
          </w:p>
        </w:tc>
        <w:tc>
          <w:tcPr>
            <w:tcW w:w="0" w:type="dxa"/>
            <w:vAlign w:val="bottom"/>
          </w:tcPr>
          <w:p>
            <w:pPr>
              <w:spacing w:after="0"/>
              <w:rPr>
                <w:sz w:val="1"/>
                <w:szCs w:val="1"/>
                <w:color w:val="auto"/>
              </w:rPr>
            </w:pPr>
          </w:p>
        </w:tc>
      </w:tr>
      <w:tr>
        <w:trPr>
          <w:trHeight w:val="20"/>
        </w:trPr>
        <w:tc>
          <w:tcPr>
            <w:tcW w:w="780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109,253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82,831</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4"/>
                <w:szCs w:val="14"/>
                <w:color w:val="auto"/>
              </w:rPr>
              <w:t>Accrued personnel costs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95,267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133,593</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Contingent purchase price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54,780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66,287</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38,077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36,283</w:t>
            </w:r>
          </w:p>
        </w:tc>
        <w:tc>
          <w:tcPr>
            <w:tcW w:w="0" w:type="dxa"/>
            <w:vAlign w:val="bottom"/>
          </w:tcPr>
          <w:p>
            <w:pPr>
              <w:spacing w:after="0"/>
              <w:rPr>
                <w:sz w:val="1"/>
                <w:szCs w:val="1"/>
                <w:color w:val="auto"/>
              </w:rPr>
            </w:pPr>
          </w:p>
        </w:tc>
      </w:tr>
      <w:tr>
        <w:trPr>
          <w:trHeight w:val="206"/>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31,389</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30,937</w:t>
            </w:r>
          </w:p>
        </w:tc>
        <w:tc>
          <w:tcPr>
            <w:tcW w:w="0" w:type="dxa"/>
            <w:vAlign w:val="bottom"/>
          </w:tcPr>
          <w:p>
            <w:pPr>
              <w:spacing w:after="0"/>
              <w:rPr>
                <w:sz w:val="1"/>
                <w:szCs w:val="1"/>
                <w:color w:val="auto"/>
              </w:rPr>
            </w:pPr>
          </w:p>
        </w:tc>
      </w:tr>
      <w:tr>
        <w:trPr>
          <w:trHeight w:val="192"/>
        </w:trPr>
        <w:tc>
          <w:tcPr>
            <w:tcW w:w="7800" w:type="dxa"/>
            <w:vAlign w:val="bottom"/>
          </w:tcPr>
          <w:p>
            <w:pPr>
              <w:ind w:left="480"/>
              <w:spacing w:after="0"/>
              <w:rPr>
                <w:sz w:val="20"/>
                <w:szCs w:val="20"/>
                <w:color w:val="auto"/>
              </w:rPr>
            </w:pPr>
            <w:r>
              <w:rPr>
                <w:rFonts w:ascii="Arial" w:cs="Arial" w:eastAsia="Arial" w:hAnsi="Arial"/>
                <w:sz w:val="14"/>
                <w:szCs w:val="14"/>
                <w:color w:val="auto"/>
              </w:rPr>
              <w:t>Current liabilities before client fund obligations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336,140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352,028</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Client fund obligations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131,623</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159,893</w:t>
            </w:r>
          </w:p>
        </w:tc>
        <w:tc>
          <w:tcPr>
            <w:tcW w:w="0" w:type="dxa"/>
            <w:vAlign w:val="bottom"/>
          </w:tcPr>
          <w:p>
            <w:pPr>
              <w:spacing w:after="0"/>
              <w:rPr>
                <w:sz w:val="1"/>
                <w:szCs w:val="1"/>
                <w:color w:val="auto"/>
              </w:rPr>
            </w:pPr>
          </w:p>
        </w:tc>
      </w:tr>
      <w:tr>
        <w:trPr>
          <w:trHeight w:val="195"/>
        </w:trPr>
        <w:tc>
          <w:tcPr>
            <w:tcW w:w="7800" w:type="dxa"/>
            <w:vAlign w:val="bottom"/>
          </w:tcPr>
          <w:p>
            <w:pPr>
              <w:ind w:left="48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467,763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511,921</w:t>
            </w:r>
          </w:p>
        </w:tc>
        <w:tc>
          <w:tcPr>
            <w:tcW w:w="0" w:type="dxa"/>
            <w:vAlign w:val="bottom"/>
          </w:tcPr>
          <w:p>
            <w:pPr>
              <w:spacing w:after="0"/>
              <w:rPr>
                <w:sz w:val="1"/>
                <w:szCs w:val="1"/>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Bank debt</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381,000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312,400</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Debt issuance costs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92"/>
        </w:trPr>
        <w:tc>
          <w:tcPr>
            <w:tcW w:w="7800" w:type="dxa"/>
            <w:vAlign w:val="bottom"/>
          </w:tcPr>
          <w:p>
            <w:pPr>
              <w:ind w:left="480"/>
              <w:spacing w:after="0"/>
              <w:rPr>
                <w:sz w:val="20"/>
                <w:szCs w:val="20"/>
                <w:color w:val="auto"/>
              </w:rPr>
            </w:pPr>
            <w:r>
              <w:rPr>
                <w:rFonts w:ascii="Arial" w:cs="Arial" w:eastAsia="Arial" w:hAnsi="Arial"/>
                <w:sz w:val="14"/>
                <w:szCs w:val="14"/>
                <w:color w:val="auto"/>
              </w:rPr>
              <w:t>Total long-term debt, net</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379,660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310,826</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Deferred income taxes, net</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32,726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29,287</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compensation plan obligations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162,133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143,499</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Contingent purchase price liabilities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29,059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48,659</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194,704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203,905</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200"/>
        </w:trPr>
        <w:tc>
          <w:tcPr>
            <w:tcW w:w="7800" w:type="dxa"/>
            <w:vAlign w:val="bottom"/>
            <w:shd w:val="clear" w:color="auto" w:fill="CFF0FC"/>
          </w:tcPr>
          <w:p>
            <w:pPr>
              <w:ind w:left="480"/>
              <w:spacing w:after="0"/>
              <w:rPr>
                <w:sz w:val="20"/>
                <w:szCs w:val="20"/>
                <w:color w:val="auto"/>
              </w:rPr>
            </w:pPr>
            <w:r>
              <w:rPr>
                <w:rFonts w:ascii="Arial" w:cs="Arial" w:eastAsia="Arial" w:hAnsi="Arial"/>
                <w:sz w:val="14"/>
                <w:szCs w:val="14"/>
                <w:b w:val="1"/>
                <w:bCs w:val="1"/>
                <w:color w:val="auto"/>
              </w:rPr>
              <w:t>Total non-current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801,608</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740,053</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1,269,371</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1,251,974</w:t>
            </w:r>
          </w:p>
        </w:tc>
        <w:tc>
          <w:tcPr>
            <w:tcW w:w="0" w:type="dxa"/>
            <w:vAlign w:val="bottom"/>
          </w:tcPr>
          <w:p>
            <w:pPr>
              <w:spacing w:after="0"/>
              <w:rPr>
                <w:sz w:val="1"/>
                <w:szCs w:val="1"/>
                <w:color w:val="auto"/>
              </w:rPr>
            </w:pPr>
          </w:p>
        </w:tc>
      </w:tr>
      <w:tr>
        <w:trPr>
          <w:trHeight w:val="184"/>
        </w:trPr>
        <w:tc>
          <w:tcPr>
            <w:tcW w:w="780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07"/>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paid in capital</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845,962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832,475</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951,761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855,084</w:t>
            </w:r>
          </w:p>
        </w:tc>
        <w:tc>
          <w:tcPr>
            <w:tcW w:w="0" w:type="dxa"/>
            <w:vAlign w:val="bottom"/>
          </w:tcPr>
          <w:p>
            <w:pPr>
              <w:spacing w:after="0"/>
              <w:rPr>
                <w:sz w:val="1"/>
                <w:szCs w:val="1"/>
                <w:color w:val="auto"/>
              </w:rPr>
            </w:pPr>
          </w:p>
        </w:tc>
      </w:tr>
      <w:tr>
        <w:trPr>
          <w:trHeight w:val="206"/>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Treasury stock</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(910,322)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(899,093)</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2,654</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00"/>
        </w:trPr>
        <w:tc>
          <w:tcPr>
            <w:tcW w:w="7800" w:type="dxa"/>
            <w:vAlign w:val="bottom"/>
            <w:shd w:val="clear" w:color="auto" w:fill="CFF0FC"/>
          </w:tcPr>
          <w:p>
            <w:pPr>
              <w:ind w:left="48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891,434</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791,618</w:t>
            </w:r>
          </w:p>
        </w:tc>
        <w:tc>
          <w:tcPr>
            <w:tcW w:w="0" w:type="dxa"/>
            <w:vAlign w:val="bottom"/>
          </w:tcPr>
          <w:p>
            <w:pPr>
              <w:spacing w:after="0"/>
              <w:rPr>
                <w:sz w:val="1"/>
                <w:szCs w:val="1"/>
                <w:color w:val="auto"/>
              </w:rPr>
            </w:pPr>
          </w:p>
        </w:tc>
      </w:tr>
      <w:tr>
        <w:trPr>
          <w:trHeight w:val="195"/>
        </w:trPr>
        <w:tc>
          <w:tcPr>
            <w:tcW w:w="7800" w:type="dxa"/>
            <w:vAlign w:val="bottom"/>
          </w:tcPr>
          <w:p>
            <w:pPr>
              <w:ind w:left="48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2,160,805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2,043,592</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914,309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853,108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684,998</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31,391</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136,719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138,176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38,153</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19,793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26,863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96,677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100,023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0" w:type="dxa"/>
            <w:vAlign w:val="bottom"/>
          </w:tcPr>
          <w:p>
            <w:pPr>
              <w:spacing w:after="0"/>
              <w:rPr>
                <w:sz w:val="1"/>
                <w:szCs w:val="1"/>
                <w:color w:val="auto"/>
              </w:rPr>
            </w:pPr>
          </w:p>
        </w:tc>
      </w:tr>
      <w:tr>
        <w:trPr>
          <w:trHeight w:val="229"/>
        </w:trPr>
        <w:tc>
          <w:tcPr>
            <w:tcW w:w="5120" w:type="dxa"/>
            <w:vAlign w:val="bottom"/>
          </w:tcPr>
          <w:p>
            <w:pPr>
              <w:ind w:left="100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54"/>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50,276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50,385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50,248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50,639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96,677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100,023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100,347</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137,855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87,743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$ 841,268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931,968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(910,322)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867,089</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19,793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19,793</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2,316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3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87,743</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$ 845,962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951,761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(910,322)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891,434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0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137,024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86,712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$ 814,686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807,276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(853,793)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771,930</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26,863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26,863</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547</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(27,737)</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and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Excise tax on share repurchases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137,081</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87,259</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1,371</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$ 818,693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834,139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(882,088)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3,928</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137,387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87,573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$ 832,475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855,084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(899,093)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791,618</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96,677</w:t>
            </w: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ind w:left="20"/>
              <w:spacing w:after="0" w:line="164" w:lineRule="exact"/>
              <w:rPr>
                <w:sz w:val="20"/>
                <w:szCs w:val="20"/>
                <w:color w:val="auto"/>
              </w:rPr>
            </w:pPr>
            <w:r>
              <w:rPr>
                <w:rFonts w:ascii="Arial" w:cs="Arial" w:eastAsia="Arial" w:hAnsi="Arial"/>
                <w:sz w:val="16"/>
                <w:szCs w:val="16"/>
                <w:color w:val="auto"/>
              </w:rPr>
              <w:t>Indirect repurchase of shares for minimum tax</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(11,229)</w:t>
            </w: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and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8,476</w:t>
            </w:r>
          </w:p>
        </w:tc>
        <w:tc>
          <w:tcPr>
            <w:tcW w:w="0" w:type="dxa"/>
            <w:vAlign w:val="bottom"/>
          </w:tcPr>
          <w:p>
            <w:pPr>
              <w:spacing w:after="0"/>
              <w:rPr>
                <w:sz w:val="1"/>
                <w:szCs w:val="1"/>
                <w:color w:val="auto"/>
              </w:rPr>
            </w:pPr>
          </w:p>
        </w:tc>
      </w:tr>
      <w:tr>
        <w:trPr>
          <w:trHeight w:val="23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137,905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87,743</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$ 845,962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951,761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(910,322)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891,434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136,295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86,115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$ 799,147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734,116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(824,778)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3,604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713,452</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100,023</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
              <w:spacing w:after="0"/>
              <w:rPr>
                <w:sz w:val="20"/>
                <w:szCs w:val="20"/>
                <w:color w:val="auto"/>
              </w:rPr>
            </w:pPr>
            <w:r>
              <w:rPr>
                <w:rFonts w:ascii="Arial" w:cs="Arial" w:eastAsia="Arial" w:hAnsi="Arial"/>
                <w:sz w:val="16"/>
                <w:szCs w:val="16"/>
                <w:color w:val="auto"/>
              </w:rPr>
              <w:t>975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(48,528)</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 tax</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80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00" w:type="dxa"/>
            <w:vAlign w:val="bottom"/>
          </w:tcPr>
          <w:p>
            <w:pPr>
              <w:jc w:val="right"/>
              <w:spacing w:after="0"/>
              <w:rPr>
                <w:sz w:val="20"/>
                <w:szCs w:val="20"/>
                <w:color w:val="auto"/>
              </w:rPr>
            </w:pPr>
            <w:r>
              <w:rPr>
                <w:rFonts w:ascii="Arial" w:cs="Arial" w:eastAsia="Arial" w:hAnsi="Arial"/>
                <w:sz w:val="16"/>
                <w:szCs w:val="16"/>
                <w:color w:val="auto"/>
              </w:rPr>
              <w:t>221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w:t>
            </w:r>
          </w:p>
        </w:tc>
        <w:tc>
          <w:tcPr>
            <w:tcW w:w="0" w:type="dxa"/>
            <w:vAlign w:val="bottom"/>
          </w:tcPr>
          <w:p>
            <w:pPr>
              <w:spacing w:after="0"/>
              <w:rPr>
                <w:sz w:val="1"/>
                <w:szCs w:val="1"/>
                <w:color w:val="auto"/>
              </w:rPr>
            </w:pP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Business acquisitions</w:t>
            </w:r>
          </w:p>
        </w:tc>
        <w:tc>
          <w:tcPr>
            <w:tcW w:w="80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Excise tax on share repurchases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June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137,081</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87,259</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1,371</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$ 818,693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834,139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(882,088)</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3,928</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776,043</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r>
      <w:tr>
        <w:trPr>
          <w:trHeight w:val="191"/>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Net income</w:t>
            </w:r>
          </w:p>
        </w:tc>
        <w:tc>
          <w:tcPr>
            <w:tcW w:w="49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96,677</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100,023</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17,831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Gain on sale of operations, net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Bad debt expense, net of recoveries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Adjustment to contingent earnout liability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6,619</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receivable,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(111,792)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(11,594)</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45,350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11,913</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Accrued personnel costs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(38,502)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(40,893)</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r>
      <w:tr>
        <w:trPr>
          <w:trHeight w:val="209"/>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29,729</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940" w:type="dxa"/>
            <w:vAlign w:val="bottom"/>
            <w:tcBorders>
              <w:bottom w:val="single" w:sz="8" w:color="CCEEFF"/>
            </w:tcBorders>
            <w:gridSpan w:val="2"/>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(48,630)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client fund investments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sales of divested operations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Change in funds held for clients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Additions to property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(11,726)</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(65,617)</w:t>
            </w:r>
          </w:p>
        </w:tc>
      </w:tr>
      <w:tr>
        <w:trPr>
          <w:trHeight w:val="155"/>
        </w:trPr>
        <w:tc>
          <w:tcPr>
            <w:tcW w:w="20" w:type="dxa"/>
            <w:vAlign w:val="bottom"/>
          </w:tcPr>
          <w:p>
            <w:pPr>
              <w:spacing w:after="0"/>
              <w:rPr>
                <w:sz w:val="13"/>
                <w:szCs w:val="13"/>
                <w:color w:val="auto"/>
              </w:rPr>
            </w:pPr>
          </w:p>
        </w:tc>
        <w:tc>
          <w:tcPr>
            <w:tcW w:w="77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bank debt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661,800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Payment of bank debt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(551,200)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(516,900)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for acquisition of treasury stock</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(48,764)</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(8,224)</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Changes in client funds obligations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(40,398)</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exercise of stock options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of contingent consideration for acquisitions and client lists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(29,973)</w:t>
            </w:r>
          </w:p>
        </w:tc>
      </w:tr>
      <w:tr>
        <w:trPr>
          <w:trHeight w:val="210"/>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21,793</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(14,095)</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157,148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160,145</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136,420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3,692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52,314</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Cash equivalents included in funds held for clients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90,044</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136,420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Selected Terms Used in Notes to the Condensed Consolidated Financial Statements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ASA – </w:t>
      </w:r>
      <w:r>
        <w:rPr>
          <w:rFonts w:ascii="Arial" w:cs="Arial" w:eastAsia="Arial" w:hAnsi="Arial"/>
          <w:sz w:val="18"/>
          <w:szCs w:val="18"/>
          <w:color w:val="auto"/>
        </w:rPr>
        <w:t>Administrative Service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ASC – </w:t>
      </w:r>
      <w:r>
        <w:rPr>
          <w:rFonts w:ascii="Arial" w:cs="Arial" w:eastAsia="Arial" w:hAnsi="Arial"/>
          <w:sz w:val="18"/>
          <w:szCs w:val="18"/>
          <w:color w:val="auto"/>
        </w:rPr>
        <w:t>Accounting Standards Codification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ASU – </w:t>
      </w:r>
      <w:r>
        <w:rPr>
          <w:rFonts w:ascii="Arial" w:cs="Arial" w:eastAsia="Arial" w:hAnsi="Arial"/>
          <w:sz w:val="18"/>
          <w:szCs w:val="18"/>
          <w:color w:val="auto"/>
        </w:rPr>
        <w:t>Accounting Standards Update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CPA firm – </w:t>
      </w:r>
      <w:r>
        <w:rPr>
          <w:rFonts w:ascii="Arial" w:cs="Arial" w:eastAsia="Arial" w:hAnsi="Arial"/>
          <w:sz w:val="18"/>
          <w:szCs w:val="18"/>
          <w:color w:val="auto"/>
        </w:rPr>
        <w:t>Certified Public Accounting firm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FASB – </w:t>
      </w:r>
      <w:r>
        <w:rPr>
          <w:rFonts w:ascii="Arial" w:cs="Arial" w:eastAsia="Arial" w:hAnsi="Arial"/>
          <w:sz w:val="18"/>
          <w:szCs w:val="18"/>
          <w:color w:val="auto"/>
        </w:rPr>
        <w:t>The Financial Accounting Standards Board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GAAP – </w:t>
      </w:r>
      <w:r>
        <w:rPr>
          <w:rFonts w:ascii="Arial" w:cs="Arial" w:eastAsia="Arial" w:hAnsi="Arial"/>
          <w:sz w:val="18"/>
          <w:szCs w:val="18"/>
          <w:color w:val="auto"/>
        </w:rPr>
        <w:t>United States Generally Accepted Accounting Principles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SOFR – </w:t>
      </w:r>
      <w:r>
        <w:rPr>
          <w:rFonts w:ascii="Arial" w:cs="Arial" w:eastAsia="Arial" w:hAnsi="Arial"/>
          <w:sz w:val="18"/>
          <w:szCs w:val="18"/>
          <w:color w:val="auto"/>
        </w:rPr>
        <w:t>Secured Overnight Financing Rate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 –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CBIZ, Inc. is a diversified services company which, acting through its subsidiaries, has been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business services since 1996, primarily to small and medium-sized businesses, as well as individuals, governmental entities, and not-for-profit enterprises throughout the United States and parts of Canada. CBIZ, Inc. manages and reports its operations along three practice groups: Financial Services, Benefits and Insurance Services and National Practices. A further description of products and services offered by each of the practice groups is provided in Note 11, Segment Disclosures, to the accompanying unaudited condensed consolidated financial statements.</w:t>
      </w:r>
    </w:p>
    <w:p>
      <w:pPr>
        <w:spacing w:after="0" w:line="74" w:lineRule="exact"/>
        <w:rPr>
          <w:sz w:val="20"/>
          <w:szCs w:val="20"/>
          <w:color w:val="auto"/>
        </w:rPr>
      </w:pPr>
    </w:p>
    <w:p>
      <w:pPr>
        <w:ind w:left="980" w:right="80"/>
        <w:spacing w:after="0" w:line="257" w:lineRule="auto"/>
        <w:rPr>
          <w:sz w:val="20"/>
          <w:szCs w:val="20"/>
          <w:color w:val="auto"/>
        </w:rPr>
      </w:pPr>
      <w:r>
        <w:rPr>
          <w:rFonts w:ascii="Arial" w:cs="Arial" w:eastAsia="Arial" w:hAnsi="Arial"/>
          <w:sz w:val="18"/>
          <w:szCs w:val="18"/>
          <w:color w:val="auto"/>
        </w:rPr>
        <w:t>During the six months ended June 30, 2024, we completed the acquisitions of Erickson, Brown &amp; Kloster, LLC ("EBK") and CompuData, Inc. ("CompuData") in our Financial Services practice group and Educational &amp; Institutional Insurance Administrator, Inc.'s EIIA Higher Education Benefit Trust ("EIIA") in our Benefits and Insurance practice group for a total aggregated purchase price of $40.1 million, including $15.2 million recorded as contingent consideration. For the six months ended June 30, 2024, we recorded $12.6 million in total revenue from those acquisitions. None of the acquisition are considered material, individually or in the aggregate.</w:t>
      </w:r>
    </w:p>
    <w:p>
      <w:pPr>
        <w:spacing w:after="0" w:line="74"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The accompanying unaudited condensed consolidated financial statements include the operations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CBIZ, Inc. and all of its wholly-owned subsidiaries (“CBIZ”, the “Company”, “we”, “us”, or “our”), after elimination of all intercompany balances and transactions. These unaudited condensed consolidated financial statements do not reflect the operations or accounts of variable interest entities as the impact is not material to the financial condition, results of operations or cash flows of CBIZ.</w:t>
      </w:r>
    </w:p>
    <w:p>
      <w:pPr>
        <w:spacing w:after="0" w:line="71"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b w:val="1"/>
          <w:bCs w:val="1"/>
          <w:color w:val="auto"/>
        </w:rPr>
        <w:t xml:space="preserve">Unaudited Interim Financial Statements: </w:t>
      </w:r>
      <w:r>
        <w:rPr>
          <w:rFonts w:ascii="Arial" w:cs="Arial" w:eastAsia="Arial" w:hAnsi="Arial"/>
          <w:sz w:val="18"/>
          <w:szCs w:val="18"/>
          <w:color w:val="auto"/>
        </w:rPr>
        <w:t>The unaudited condensed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fiscal year ended December 31, 2023.</w:t>
      </w:r>
    </w:p>
    <w:p>
      <w:pPr>
        <w:spacing w:after="0" w:line="74"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2024.</w:t>
      </w:r>
    </w:p>
    <w:p>
      <w:pPr>
        <w:spacing w:after="0" w:line="68" w:lineRule="exact"/>
        <w:rPr>
          <w:sz w:val="20"/>
          <w:szCs w:val="20"/>
          <w:color w:val="auto"/>
        </w:rPr>
      </w:pPr>
    </w:p>
    <w:p>
      <w:pPr>
        <w:ind w:left="980" w:right="60"/>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make estimates and assumptions that affect the amounts reported and disclosed in the financial statements and the accompanying notes. Changes in circumstances could cause actual results to differ materially from these estimates.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ind w:left="980" w:right="100"/>
        <w:spacing w:after="0" w:line="268" w:lineRule="auto"/>
        <w:rPr>
          <w:sz w:val="20"/>
          <w:szCs w:val="20"/>
          <w:color w:val="auto"/>
        </w:rPr>
      </w:pPr>
      <w:r>
        <w:rPr>
          <w:rFonts w:ascii="Arial" w:cs="Arial" w:eastAsia="Arial" w:hAnsi="Arial"/>
          <w:sz w:val="18"/>
          <w:szCs w:val="18"/>
          <w:b w:val="1"/>
          <w:bCs w:val="1"/>
          <w:color w:val="auto"/>
        </w:rPr>
        <w:t xml:space="preserve">Changes in Accounting Policies: </w:t>
      </w:r>
      <w:r>
        <w:rPr>
          <w:rFonts w:ascii="Arial" w:cs="Arial" w:eastAsia="Arial" w:hAnsi="Arial"/>
          <w:sz w:val="18"/>
          <w:szCs w:val="18"/>
          <w:color w:val="auto"/>
        </w:rPr>
        <w:t>We have consistently applied the accounting policies for the periods presented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Note 1, Basis of Presentation and Significant Accounting Policies, to the consolidated financial statements contained in our Annual Report on Form 10-K for the fiscal year ended December 31,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117"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color w:val="auto"/>
        </w:rPr>
        <w:t>The FASB ASC is the sole source of authoritative GAAP other than the SEC issued rules and regulations that apply only to SEC registrants. The FASB issues an ASU to communicate changes to the FASB ASC. We assess and review the impact of all issued ASUs. During the six months ended June 30, 2024, we have implemented all new ASUs that are in effect and that may impact our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w:t>
      </w:r>
    </w:p>
    <w:p>
      <w:pPr>
        <w:spacing w:after="0" w:line="117"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Accounts receivable, net, at June 30, 2024 and December 31, 2023 was as follows (in thousands):</w:t>
      </w:r>
    </w:p>
    <w:p>
      <w:pPr>
        <w:spacing w:after="0" w:line="38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8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309,640</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Unbilled revenue, at net realizable value</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96,110</w:t>
            </w:r>
          </w:p>
        </w:tc>
      </w:tr>
      <w:tr>
        <w:trPr>
          <w:trHeight w:val="223"/>
        </w:trPr>
        <w:tc>
          <w:tcPr>
            <w:tcW w:w="5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accounts receivable</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512,239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405,750</w:t>
            </w:r>
          </w:p>
        </w:tc>
      </w:tr>
      <w:tr>
        <w:trPr>
          <w:trHeight w:val="229"/>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r>
      <w:tr>
        <w:trPr>
          <w:trHeight w:val="248"/>
        </w:trPr>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477,841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380,152</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to the allowance for doubtful accounts for the six months ended June 30, 2024 and twelve months ended</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December 31, 2023 were as follows (in thousands):</w:t>
      </w:r>
    </w:p>
    <w:p>
      <w:pPr>
        <w:spacing w:after="0" w:line="13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8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(13,681)</w:t>
            </w: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 net of recoveries</w:t>
            </w: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r>
      <w:tr>
        <w:trPr>
          <w:trHeight w:val="21"/>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DEBT AND FINANCING ARRANGEMENTS</w:t>
      </w:r>
    </w:p>
    <w:p>
      <w:pPr>
        <w:spacing w:after="0" w:line="117"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b w:val="1"/>
          <w:bCs w:val="1"/>
          <w:color w:val="auto"/>
        </w:rPr>
        <w:t xml:space="preserve">2022 Credit Facility </w:t>
      </w:r>
      <w:r>
        <w:rPr>
          <w:rFonts w:ascii="Arial" w:cs="Arial" w:eastAsia="Arial" w:hAnsi="Arial"/>
          <w:sz w:val="18"/>
          <w:szCs w:val="18"/>
          <w:color w:val="auto"/>
        </w:rPr>
        <w:t>- Our primary financing arrangement is the 2022 credit facility. The 2022 credit facility has a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of $600 million and provides us with the capital necessary to meet our working capital needs as well as the flexibility to continue with our strategic initiatives, including business acquisitions and share repurchases. The 2022 credit facility matures on May 4, 2027. The balance outstanding under the 2022 credit facility was $381.0 million and $312.4 million at June 30, 2024 and December 31, 2023, respectively.</w:t>
      </w:r>
    </w:p>
    <w:p>
      <w:pPr>
        <w:spacing w:after="0" w:line="71" w:lineRule="exact"/>
        <w:rPr>
          <w:sz w:val="20"/>
          <w:szCs w:val="20"/>
          <w:color w:val="auto"/>
        </w:rPr>
      </w:pPr>
    </w:p>
    <w:p>
      <w:pPr>
        <w:ind w:left="980" w:right="380"/>
        <w:spacing w:after="0" w:line="287" w:lineRule="auto"/>
        <w:rPr>
          <w:sz w:val="20"/>
          <w:szCs w:val="20"/>
          <w:color w:val="auto"/>
        </w:rPr>
      </w:pPr>
      <w:r>
        <w:rPr>
          <w:rFonts w:ascii="Arial" w:cs="Arial" w:eastAsia="Arial" w:hAnsi="Arial"/>
          <w:sz w:val="18"/>
          <w:szCs w:val="18"/>
          <w:color w:val="auto"/>
        </w:rPr>
        <w:t>The effective interest rates under the 2022 credit facility, including the impact of interest rate swaps associated with the 2022 credit facility, for the six months ended June 30, 2024 and 2023 were as follows:</w:t>
      </w:r>
    </w:p>
    <w:p>
      <w:pPr>
        <w:spacing w:after="0" w:line="70"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Six Months Ended</w:t>
      </w:r>
    </w:p>
    <w:p>
      <w:pPr>
        <w:jc w:val="center"/>
        <w:ind w:left="59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86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rates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4.94%</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Range of effective rates</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1.93% - 6.83%</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1.93% - 8.00%</w:t>
            </w:r>
          </w:p>
        </w:tc>
      </w:tr>
    </w:tbl>
    <w:p>
      <w:pPr>
        <w:spacing w:after="0" w:line="161" w:lineRule="exact"/>
        <w:rPr>
          <w:sz w:val="20"/>
          <w:szCs w:val="20"/>
          <w:color w:val="auto"/>
        </w:rPr>
      </w:pPr>
    </w:p>
    <w:p>
      <w:pPr>
        <w:ind w:left="980" w:right="100"/>
        <w:spacing w:after="0" w:line="257" w:lineRule="auto"/>
        <w:rPr>
          <w:sz w:val="20"/>
          <w:szCs w:val="20"/>
          <w:color w:val="auto"/>
        </w:rPr>
      </w:pPr>
      <w:r>
        <w:rPr>
          <w:rFonts w:ascii="Arial" w:cs="Arial" w:eastAsia="Arial" w:hAnsi="Arial"/>
          <w:sz w:val="18"/>
          <w:szCs w:val="18"/>
          <w:color w:val="auto"/>
        </w:rPr>
        <w:t>We had approximately $209.8 million of available funds under the 2022 credit facility at June 30, 2024, net of outstanding letters of credit of $ 3.2 million. Available funds under the 2022 credit facility are based on a multiple of earnings before interest, taxes, depreciation and amortization as defined in the 2022 credit facility, and are reduced by letters of credit, other indebtedness and outstanding borrowings under the 2022 credit facility. Under the 2022 credit facility, loans are charged an interest rate consisting of a base rate or term SOFR rate plus an applicable margin, letters of credit are charged based on the same applicable margin, and a commitment fee is charged on the unused portion of the 2022 credit facility.</w:t>
      </w:r>
    </w:p>
    <w:p>
      <w:pPr>
        <w:spacing w:after="0" w:line="74"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The 2022 credit facility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2022 credit facility also limits our ability to make dividend payments. Historically, we have not paid cash dividends on our common stock. Our Board of Directors has discretion over the payment and level of dividends on common stock, subject to the limitations of the 2022 credit facility and applicable law. The 2022 credit facility contains a provision that, in the event of a defined change in control, the 2022 credit facility may be terminated. In addition, the 2022 credit facility contains financial covenants that require us to meet certain requirements with respect to (i) a total leverage ratio and (ii) minimum interest coverage ratio which may limit our ability to borrow up to the total commitment amount. As of June 30, 2024, we are in compliance with all covenants.</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Refer to the Annual Report on Form 10-K for the year ended December 31, 2023 for further discussion on the 2022 credit facility.</w:t>
      </w:r>
    </w:p>
    <w:p>
      <w:pPr>
        <w:spacing w:after="0" w:line="117"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b w:val="1"/>
          <w:bCs w:val="1"/>
          <w:color w:val="auto"/>
        </w:rPr>
        <w:t xml:space="preserve">Other Line of Credit </w:t>
      </w:r>
      <w:r>
        <w:rPr>
          <w:rFonts w:ascii="Arial" w:cs="Arial" w:eastAsia="Arial" w:hAnsi="Arial"/>
          <w:sz w:val="18"/>
          <w:szCs w:val="18"/>
          <w:color w:val="auto"/>
        </w:rPr>
        <w:t>- We have an unsecured $20.0 million line of credit by and among CBIZ Benefits and Insurance,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Huntington National Bank. We utilize this line to support our short-term funding requirements of payroll client fund obligations due to the investment of client funds, rather than liquidating client funds that have already been invested in available-for-sale securities. The line of credit did not have a balance outstanding at June 30, 2024. On August 1, 2024, we renewed the line of credit and it will terminate on July 31, 2025.</w:t>
      </w:r>
    </w:p>
    <w:p>
      <w:pPr>
        <w:spacing w:after="0" w:line="71" w:lineRule="exact"/>
        <w:rPr>
          <w:sz w:val="20"/>
          <w:szCs w:val="20"/>
          <w:color w:val="auto"/>
        </w:rPr>
      </w:pPr>
    </w:p>
    <w:p>
      <w:pPr>
        <w:ind w:left="980" w:right="180"/>
        <w:spacing w:after="0" w:line="287"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including amortization of deferred financing costs, commitment fees, line of credit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applicable bank charges, for the three and six months ended June 30, 2024 and 2023 was as follows (in thousands):</w:t>
      </w:r>
    </w:p>
    <w:p>
      <w:pPr>
        <w:spacing w:after="0" w:line="95"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4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5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r>
      <w:tr>
        <w:trPr>
          <w:trHeight w:val="224"/>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r>
      <w:tr>
        <w:trPr>
          <w:trHeight w:val="230"/>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17" w:lineRule="exact"/>
        <w:rPr>
          <w:sz w:val="20"/>
          <w:szCs w:val="20"/>
          <w:color w:val="auto"/>
        </w:rPr>
      </w:pPr>
    </w:p>
    <w:p>
      <w:pPr>
        <w:ind w:left="980" w:right="100"/>
        <w:spacing w:after="0" w:line="262" w:lineRule="auto"/>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 We provide letters of credit to landlords (lessors) of our leased premises in lieu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deposits, which totaled $3.2 million and $3.5 million at June 30, 2024 and December 31, 2023, respectively. In addition, we provide license bonds to various state agencies to meet certain licensing requirements. The amount of license bonds outstanding was $2.3 million and $2.3 million at June 30, 2024 and December 31, 2023, respectively.</w:t>
      </w:r>
    </w:p>
    <w:p>
      <w:pPr>
        <w:spacing w:after="0" w:line="68"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On December 19, 2016, CBIZ Operations, Inc. ("CBIZ Operations") was named as a defendant in a lawsuit</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Zotec Partners, LLC (“Zotec”) 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the fact, unknown to employees of CBIZ Operations at the time of the transaction, that the former employee had a financial arrangement with a Zotec vendor at the time CBIZ Operations sold CBIZ MMP to Zotec. The plaintiff sought damages of up to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w:t>
      </w:r>
    </w:p>
    <w:p>
      <w:pPr>
        <w:spacing w:after="0" w:line="79"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color w:val="auto"/>
        </w:rPr>
        <w:t>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75" w:lineRule="exact"/>
        <w:rPr>
          <w:sz w:val="20"/>
          <w:szCs w:val="20"/>
          <w:color w:val="auto"/>
        </w:rPr>
      </w:pPr>
    </w:p>
    <w:p>
      <w:pPr>
        <w:ind w:left="980" w:right="80"/>
        <w:spacing w:after="0" w:line="268" w:lineRule="auto"/>
        <w:rPr>
          <w:sz w:val="20"/>
          <w:szCs w:val="20"/>
          <w:color w:val="auto"/>
        </w:rPr>
      </w:pPr>
      <w:r>
        <w:rPr>
          <w:rFonts w:ascii="Arial" w:cs="Arial" w:eastAsia="Arial" w:hAnsi="Arial"/>
          <w:sz w:val="18"/>
          <w:szCs w:val="18"/>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w:t>
      </w:r>
    </w:p>
    <w:p>
      <w:pPr>
        <w:spacing w:after="0" w:line="63" w:lineRule="exact"/>
        <w:rPr>
          <w:sz w:val="20"/>
          <w:szCs w:val="20"/>
          <w:color w:val="auto"/>
        </w:rPr>
      </w:pPr>
    </w:p>
    <w:p>
      <w:pPr>
        <w:ind w:left="980"/>
        <w:spacing w:after="0" w:line="256" w:lineRule="auto"/>
        <w:rPr>
          <w:sz w:val="20"/>
          <w:szCs w:val="20"/>
          <w:color w:val="auto"/>
        </w:rPr>
      </w:pPr>
      <w:r>
        <w:rPr>
          <w:rFonts w:ascii="Arial" w:cs="Arial" w:eastAsia="Arial" w:hAnsi="Arial"/>
          <w:sz w:val="18"/>
          <w:szCs w:val="18"/>
          <w:color w:val="auto"/>
        </w:rPr>
        <w:t>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 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w:t>
      </w:r>
    </w:p>
    <w:p>
      <w:pPr>
        <w:spacing w:after="0" w:line="75" w:lineRule="exact"/>
        <w:rPr>
          <w:sz w:val="20"/>
          <w:szCs w:val="20"/>
          <w:color w:val="auto"/>
        </w:rPr>
      </w:pPr>
    </w:p>
    <w:p>
      <w:pPr>
        <w:ind w:left="980" w:right="60"/>
        <w:spacing w:after="0" w:line="262" w:lineRule="auto"/>
        <w:rPr>
          <w:sz w:val="20"/>
          <w:szCs w:val="20"/>
          <w:color w:val="auto"/>
        </w:rPr>
      </w:pPr>
      <w:r>
        <w:rPr>
          <w:rFonts w:ascii="Arial" w:cs="Arial" w:eastAsia="Arial" w:hAnsi="Arial"/>
          <w:sz w:val="18"/>
          <w:szCs w:val="18"/>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68" w:lineRule="exact"/>
        <w:rPr>
          <w:sz w:val="20"/>
          <w:szCs w:val="20"/>
          <w:color w:val="auto"/>
        </w:rPr>
      </w:pPr>
    </w:p>
    <w:p>
      <w:pPr>
        <w:ind w:left="980" w:right="60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on the Company's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ind w:left="980" w:right="160"/>
        <w:spacing w:after="0" w:line="256" w:lineRule="auto"/>
        <w:rPr>
          <w:sz w:val="20"/>
          <w:szCs w:val="20"/>
          <w:color w:val="auto"/>
        </w:rPr>
      </w:pPr>
      <w:r>
        <w:rPr>
          <w:rFonts w:ascii="Arial" w:cs="Arial" w:eastAsia="Arial" w:hAnsi="Arial"/>
          <w:sz w:val="18"/>
          <w:szCs w:val="18"/>
          <w:b w:val="1"/>
          <w:bCs w:val="1"/>
          <w:color w:val="auto"/>
        </w:rPr>
        <w:t xml:space="preserve">Available-For-Sale Debt Securities </w:t>
      </w:r>
      <w:r>
        <w:rPr>
          <w:rFonts w:ascii="Arial" w:cs="Arial" w:eastAsia="Arial" w:hAnsi="Arial"/>
          <w:sz w:val="18"/>
          <w:szCs w:val="18"/>
          <w:color w:val="auto"/>
        </w:rPr>
        <w:t>- In connection with certain services provided by our payroll operations, we collect funds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$39.7 million and $40.0 million at June 30, 2024 and December 31, 2023, respectively, and these investments have maturity or callable dates ranging from July 2024 through January 2026.</w:t>
      </w:r>
    </w:p>
    <w:p>
      <w:pPr>
        <w:spacing w:after="0" w:line="75" w:lineRule="exact"/>
        <w:rPr>
          <w:sz w:val="20"/>
          <w:szCs w:val="20"/>
          <w:color w:val="auto"/>
        </w:rPr>
      </w:pPr>
    </w:p>
    <w:p>
      <w:pPr>
        <w:jc w:val="both"/>
        <w:ind w:left="980" w:right="120"/>
        <w:spacing w:after="0" w:line="268" w:lineRule="auto"/>
        <w:rPr>
          <w:sz w:val="20"/>
          <w:szCs w:val="20"/>
          <w:color w:val="auto"/>
        </w:rPr>
      </w:pPr>
      <w:r>
        <w:rPr>
          <w:rFonts w:ascii="Arial" w:cs="Arial" w:eastAsia="Arial" w:hAnsi="Arial"/>
          <w:sz w:val="18"/>
          <w:szCs w:val="18"/>
          <w:color w:val="auto"/>
        </w:rPr>
        <w:t>At June 30, 2024,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63" w:lineRule="exact"/>
        <w:rPr>
          <w:sz w:val="20"/>
          <w:szCs w:val="20"/>
          <w:color w:val="auto"/>
        </w:rPr>
      </w:pPr>
    </w:p>
    <w:p>
      <w:pPr>
        <w:ind w:left="980" w:right="280"/>
        <w:spacing w:after="0" w:line="287" w:lineRule="auto"/>
        <w:rPr>
          <w:sz w:val="20"/>
          <w:szCs w:val="20"/>
          <w:color w:val="auto"/>
        </w:rPr>
      </w:pPr>
      <w:r>
        <w:rPr>
          <w:rFonts w:ascii="Arial" w:cs="Arial" w:eastAsia="Arial" w:hAnsi="Arial"/>
          <w:sz w:val="18"/>
          <w:szCs w:val="18"/>
          <w:color w:val="auto"/>
        </w:rPr>
        <w:t>The following table summarizes activities related to these investments for the six months ended June 30, 2024 and the twelve months ended December 31, 2023 (in thousands):</w:t>
      </w:r>
    </w:p>
    <w:p>
      <w:pPr>
        <w:sectPr>
          <w:pgSz w:w="11900" w:h="16838" w:orient="portrait"/>
          <w:cols w:equalWidth="0" w:num="1">
            <w:col w:w="11240"/>
          </w:cols>
          <w:pgMar w:left="320" w:top="124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Fair value at beginning of period</w:t>
      </w:r>
    </w:p>
    <w:p>
      <w:pPr>
        <w:spacing w:after="0" w:line="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Purchases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Redemptions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Maturities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 in bond premium</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Fair market value adjustment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Fair value at end of period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w:t>
            </w:r>
          </w:p>
        </w:tc>
        <w:tc>
          <w:tcPr>
            <w:tcW w:w="17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December 31, 2023</w:t>
            </w:r>
          </w:p>
        </w:tc>
      </w:tr>
      <w:tr>
        <w:trPr>
          <w:trHeight w:val="218"/>
        </w:trPr>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39,459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43,485</w:t>
            </w:r>
          </w:p>
        </w:tc>
      </w:tr>
      <w:tr>
        <w:trPr>
          <w:trHeight w:val="229"/>
        </w:trPr>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14,122</w:t>
            </w:r>
          </w:p>
        </w:tc>
      </w:tr>
      <w:tr>
        <w:trPr>
          <w:trHeight w:val="229"/>
        </w:trPr>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30"/>
        </w:trPr>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(15,155)</w:t>
            </w:r>
          </w:p>
        </w:tc>
      </w:tr>
      <w:tr>
        <w:trPr>
          <w:trHeight w:val="229"/>
        </w:trPr>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5"/>
        </w:trPr>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-1071245</wp:posOffset>
            </wp:positionV>
            <wp:extent cx="59321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3217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-770890</wp:posOffset>
            </wp:positionV>
            <wp:extent cx="593217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2170" cy="1454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-479425</wp:posOffset>
            </wp:positionV>
            <wp:extent cx="593217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32170" cy="14605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-187960</wp:posOffset>
            </wp:positionV>
            <wp:extent cx="59321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32170" cy="17145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6060" w:space="720"/>
            <w:col w:w="4460"/>
          </w:cols>
          <w:pgMar w:left="320" w:top="1241" w:right="339" w:bottom="1440" w:gutter="0" w:footer="0" w:header="0"/>
          <w:type w:val="continuous"/>
        </w:sectPr>
      </w:pPr>
    </w:p>
    <w:p>
      <w:pPr>
        <w:ind w:left="980" w:right="20"/>
        <w:spacing w:after="0" w:line="268" w:lineRule="auto"/>
        <w:rPr>
          <w:sz w:val="20"/>
          <w:szCs w:val="20"/>
          <w:color w:val="auto"/>
        </w:rPr>
      </w:pPr>
      <w:r>
        <w:rPr>
          <w:rFonts w:ascii="Arial" w:cs="Arial" w:eastAsia="Arial" w:hAnsi="Arial"/>
          <w:sz w:val="18"/>
          <w:szCs w:val="18"/>
          <w:color w:val="auto"/>
        </w:rPr>
        <w:t>In addition to the available-for-sale debt securities discussed above, we also held other depository assets in the amount of $1.6 million and $1.0 million at June 30, 2024 and December 31, 2023, respectively. Those depository assets are classified as Level 1 in the fair value hierarchy.</w:t>
      </w:r>
    </w:p>
    <w:p>
      <w:pPr>
        <w:spacing w:after="0" w:line="63"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 We utilize interest rate swaps to manage interest rate risk exposure associated with our floating-rate debt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2022 credit facility, or the forecasted acquisition of such liability. We do not purchase or hold any derivative instruments for trading or speculative purposes. Refer to the Annual Report on Form 10-K for the year ended December 31, 2023 for further discussion on our interest rate swaps.</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our outstanding interest rate swaps and their classification in the accompanying unaudited</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Condensed Consolidated Balance Sheets at June 30, 2024 and December 31, 2023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2024</w:t>
            </w:r>
          </w:p>
        </w:tc>
        <w:tc>
          <w:tcPr>
            <w:tcW w:w="23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Notional</w:t>
            </w:r>
          </w:p>
        </w:tc>
        <w:tc>
          <w:tcPr>
            <w:tcW w:w="13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Fixed Rate</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3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type w:val="continuous"/>
        </w:sectPr>
      </w:pPr>
    </w:p>
    <w:bookmarkStart w:id="12" w:name="page13"/>
    <w:bookmarkEnd w:id="12"/>
    <w:tbl>
      <w:tblPr>
        <w:tblLayout w:type="fixed"/>
        <w:tblInd w:w="98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2023</w:t>
            </w: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Notional</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Refer to Note 7, Fair Value Measurements, for additional disclosures regarding fair value measurements.</w:t>
      </w:r>
    </w:p>
    <w:p>
      <w:pPr>
        <w:spacing w:after="0" w:line="117" w:lineRule="exact"/>
        <w:rPr>
          <w:sz w:val="20"/>
          <w:szCs w:val="20"/>
          <w:color w:val="auto"/>
        </w:rPr>
      </w:pPr>
    </w:p>
    <w:p>
      <w:pPr>
        <w:ind w:left="980" w:right="120"/>
        <w:spacing w:after="0" w:line="295" w:lineRule="auto"/>
        <w:rPr>
          <w:sz w:val="20"/>
          <w:szCs w:val="20"/>
          <w:color w:val="auto"/>
        </w:rPr>
      </w:pPr>
      <w:r>
        <w:rPr>
          <w:rFonts w:ascii="Arial" w:cs="Arial" w:eastAsia="Arial" w:hAnsi="Arial"/>
          <w:sz w:val="17"/>
          <w:szCs w:val="17"/>
          <w:color w:val="auto"/>
        </w:rPr>
        <w:t>The following table summarizes the effects of the interest rate swaps on the accompanying unaudited Condensed Consolidated Statements of Comprehensive Income for the three and six months ended June 30, 2024 and 2023 (in thousands):</w:t>
      </w:r>
    </w:p>
    <w:tbl>
      <w:tblPr>
        <w:tblLayout w:type="fixed"/>
        <w:tblInd w:w="980" w:type="dxa"/>
        <w:tblCellMar>
          <w:top w:w="0" w:type="dxa"/>
          <w:left w:w="0" w:type="dxa"/>
          <w:bottom w:w="0" w:type="dxa"/>
          <w:right w:w="0" w:type="dxa"/>
        </w:tblCellMar>
      </w:tblPr>
      <w:tr>
        <w:trPr>
          <w:trHeight w:val="146"/>
        </w:trPr>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5"/>
          </w:tcPr>
          <w:p>
            <w:pPr>
              <w:jc w:val="center"/>
              <w:ind w:right="380"/>
              <w:spacing w:after="0" w:line="146" w:lineRule="exact"/>
              <w:rPr>
                <w:sz w:val="20"/>
                <w:szCs w:val="20"/>
                <w:color w:val="auto"/>
              </w:rPr>
            </w:pPr>
            <w:r>
              <w:rPr>
                <w:rFonts w:ascii="Arial" w:cs="Arial" w:eastAsia="Arial" w:hAnsi="Arial"/>
                <w:sz w:val="14"/>
                <w:szCs w:val="14"/>
                <w:b w:val="1"/>
                <w:bCs w:val="1"/>
                <w:color w:val="auto"/>
              </w:rPr>
              <w:t>Gain Recognized</w:t>
            </w:r>
          </w:p>
        </w:tc>
        <w:tc>
          <w:tcPr>
            <w:tcW w:w="260" w:type="dxa"/>
            <w:vAlign w:val="bottom"/>
          </w:tcPr>
          <w:p>
            <w:pPr>
              <w:spacing w:after="0"/>
              <w:rPr>
                <w:sz w:val="12"/>
                <w:szCs w:val="12"/>
                <w:color w:val="auto"/>
              </w:rPr>
            </w:pPr>
          </w:p>
        </w:tc>
        <w:tc>
          <w:tcPr>
            <w:tcW w:w="2280" w:type="dxa"/>
            <w:vAlign w:val="bottom"/>
            <w:gridSpan w:val="4"/>
          </w:tcPr>
          <w:p>
            <w:pPr>
              <w:jc w:val="center"/>
              <w:ind w:right="199"/>
              <w:spacing w:after="0" w:line="146" w:lineRule="exact"/>
              <w:rPr>
                <w:sz w:val="20"/>
                <w:szCs w:val="20"/>
                <w:color w:val="auto"/>
              </w:rPr>
            </w:pPr>
            <w:r>
              <w:rPr>
                <w:rFonts w:ascii="Arial" w:cs="Arial" w:eastAsia="Arial" w:hAnsi="Arial"/>
                <w:sz w:val="14"/>
                <w:szCs w:val="14"/>
                <w:b w:val="1"/>
                <w:bCs w:val="1"/>
                <w:color w:val="auto"/>
              </w:rPr>
              <w:t>Gain Reclassified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in AOCI, net of tax</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from AOCI into Expense</w:t>
            </w:r>
          </w:p>
        </w:tc>
      </w:tr>
      <w:tr>
        <w:trPr>
          <w:trHeight w:val="142"/>
        </w:trPr>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5"/>
          </w:tcPr>
          <w:p>
            <w:pPr>
              <w:jc w:val="center"/>
              <w:ind w:right="400"/>
              <w:spacing w:after="0" w:line="142"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2280" w:type="dxa"/>
            <w:vAlign w:val="bottom"/>
            <w:gridSpan w:val="4"/>
          </w:tcPr>
          <w:p>
            <w:pPr>
              <w:jc w:val="center"/>
              <w:ind w:right="179"/>
              <w:spacing w:after="0" w:line="142" w:lineRule="exact"/>
              <w:rPr>
                <w:sz w:val="20"/>
                <w:szCs w:val="20"/>
                <w:color w:val="auto"/>
              </w:rPr>
            </w:pPr>
            <w:r>
              <w:rPr>
                <w:rFonts w:ascii="Arial" w:cs="Arial" w:eastAsia="Arial" w:hAnsi="Arial"/>
                <w:sz w:val="14"/>
                <w:szCs w:val="14"/>
                <w:b w:val="1"/>
                <w:bCs w:val="1"/>
                <w:color w:val="auto"/>
              </w:rPr>
              <w:t>Three Months Ended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97"/>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Gain Recognized</w:t>
            </w:r>
          </w:p>
        </w:tc>
        <w:tc>
          <w:tcPr>
            <w:tcW w:w="260" w:type="dxa"/>
            <w:vAlign w:val="bottom"/>
          </w:tcPr>
          <w:p>
            <w:pPr>
              <w:spacing w:after="0"/>
              <w:rPr>
                <w:sz w:val="24"/>
                <w:szCs w:val="24"/>
                <w:color w:val="auto"/>
              </w:rPr>
            </w:pPr>
          </w:p>
        </w:tc>
        <w:tc>
          <w:tcPr>
            <w:tcW w:w="228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rPr>
              <w:t>Gain (Loss) Reclassified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in AOCI, net of tax</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from AOCI into Expense</w:t>
            </w:r>
          </w:p>
        </w:tc>
      </w:tr>
      <w:tr>
        <w:trPr>
          <w:trHeight w:val="142"/>
        </w:trPr>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5"/>
          </w:tcPr>
          <w:p>
            <w:pPr>
              <w:jc w:val="center"/>
              <w:ind w:right="380"/>
              <w:spacing w:after="0" w:line="142" w:lineRule="exact"/>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2"/>
                <w:szCs w:val="12"/>
                <w:color w:val="auto"/>
              </w:rPr>
            </w:pPr>
          </w:p>
        </w:tc>
        <w:tc>
          <w:tcPr>
            <w:tcW w:w="2280" w:type="dxa"/>
            <w:vAlign w:val="bottom"/>
            <w:gridSpan w:val="4"/>
          </w:tcPr>
          <w:p>
            <w:pPr>
              <w:jc w:val="center"/>
              <w:ind w:right="199"/>
              <w:spacing w:after="0" w:line="142" w:lineRule="exact"/>
              <w:rPr>
                <w:sz w:val="20"/>
                <w:szCs w:val="20"/>
                <w:color w:val="auto"/>
              </w:rPr>
            </w:pPr>
            <w:r>
              <w:rPr>
                <w:rFonts w:ascii="Arial" w:cs="Arial" w:eastAsia="Arial" w:hAnsi="Arial"/>
                <w:sz w:val="14"/>
                <w:szCs w:val="14"/>
                <w:b w:val="1"/>
                <w:bCs w:val="1"/>
                <w:color w:val="auto"/>
              </w:rPr>
              <w:t>Six Months Ended</w:t>
            </w:r>
          </w:p>
        </w:tc>
      </w:tr>
      <w:tr>
        <w:trPr>
          <w:trHeight w:val="189"/>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4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17" w:lineRule="exact"/>
        <w:rPr>
          <w:sz w:val="20"/>
          <w:szCs w:val="20"/>
          <w:color w:val="auto"/>
        </w:rPr>
      </w:pPr>
    </w:p>
    <w:p>
      <w:pPr>
        <w:ind w:left="980"/>
        <w:spacing w:after="0" w:line="268" w:lineRule="auto"/>
        <w:rPr>
          <w:sz w:val="20"/>
          <w:szCs w:val="20"/>
          <w:color w:val="auto"/>
        </w:rPr>
      </w:pPr>
      <w:r>
        <w:rPr>
          <w:rFonts w:ascii="Arial" w:cs="Arial" w:eastAsia="Arial" w:hAnsi="Arial"/>
          <w:sz w:val="18"/>
          <w:szCs w:val="18"/>
          <w:color w:val="auto"/>
        </w:rPr>
        <w:t>The following table summarizes our assets and (liabilities) at June 30, 2024 and December 31, 2023, respectively, that are measured at fair value on a recurring basis subsequent to initial recognition and indicates the fair value hierarchy of the valuation techniques utilized by us to determine such fair value (in thousands):</w:t>
      </w:r>
    </w:p>
    <w:p>
      <w:pPr>
        <w:spacing w:after="0" w:line="99"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39,459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depository assets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Deferred compensation plan liabilities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(143,499)</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Bank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(379,660)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(310,826)</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(114,946)</w:t>
            </w:r>
          </w:p>
        </w:tc>
      </w:tr>
    </w:tbl>
    <w:p>
      <w:pPr>
        <w:spacing w:after="0" w:line="184" w:lineRule="exact"/>
        <w:rPr>
          <w:sz w:val="20"/>
          <w:szCs w:val="20"/>
          <w:color w:val="auto"/>
        </w:rPr>
      </w:pPr>
    </w:p>
    <w:p>
      <w:pPr>
        <w:ind w:left="980" w:right="140"/>
        <w:spacing w:after="0" w:line="287" w:lineRule="auto"/>
        <w:rPr>
          <w:sz w:val="20"/>
          <w:szCs w:val="20"/>
          <w:color w:val="auto"/>
        </w:rPr>
      </w:pPr>
      <w:r>
        <w:rPr>
          <w:rFonts w:ascii="Arial" w:cs="Arial" w:eastAsia="Arial" w:hAnsi="Arial"/>
          <w:sz w:val="18"/>
          <w:szCs w:val="18"/>
          <w:color w:val="auto"/>
        </w:rPr>
        <w:t>During the six months ended June 30, 2024 and 2023, there were no transfers between the valuation hierarchy Levels 1,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13" w:name="page14"/>
    <w:bookmarkEnd w:id="13"/>
    <w:p>
      <w:pPr>
        <w:ind w:left="980" w:right="260"/>
        <w:spacing w:after="0" w:line="287" w:lineRule="auto"/>
        <w:rPr>
          <w:sz w:val="20"/>
          <w:szCs w:val="20"/>
          <w:color w:val="auto"/>
        </w:rPr>
      </w:pPr>
      <w:r>
        <w:rPr>
          <w:rFonts w:ascii="Arial" w:cs="Arial" w:eastAsia="Arial" w:hAnsi="Arial"/>
          <w:sz w:val="18"/>
          <w:szCs w:val="18"/>
          <w:color w:val="auto"/>
        </w:rPr>
        <w:t>The following table summarizes the change in Level 3 fair values of our contingent purchase price liabilities for the six months ended June 30, 2024 and 2023 (pre-tax basis, in thousands):</w:t>
      </w:r>
    </w:p>
    <w:p>
      <w:pPr>
        <w:spacing w:after="0" w:line="82"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 December 31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Additions from business acquisitions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(30,317)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contingent purchase price liabilities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Change in fair value of contingencies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present value of contingencies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 – June 30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(130,465)</w:t>
            </w:r>
          </w:p>
        </w:tc>
      </w:tr>
      <w:tr>
        <w:trPr>
          <w:trHeight w:val="21"/>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980" w:right="60"/>
        <w:spacing w:after="0" w:line="268" w:lineRule="auto"/>
        <w:rPr>
          <w:sz w:val="20"/>
          <w:szCs w:val="20"/>
          <w:color w:val="auto"/>
        </w:rPr>
      </w:pPr>
      <w:r>
        <w:rPr>
          <w:rFonts w:ascii="Arial" w:cs="Arial" w:eastAsia="Arial" w:hAnsi="Arial"/>
          <w:sz w:val="18"/>
          <w:szCs w:val="18"/>
          <w:color w:val="auto"/>
        </w:rPr>
        <w:t>The following table summarizes the changes in contingent purchase price consideration for previous acquisitions and contingent payments made for previous business acquisitions in the three and six months ended June 30, 2024 and 2023, respectively (in thousands):</w:t>
      </w:r>
    </w:p>
    <w:p>
      <w:pPr>
        <w:spacing w:after="0" w:line="11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Cash settlement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40,855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29,808</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(number)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184" w:lineRule="exact"/>
        <w:rPr>
          <w:sz w:val="20"/>
          <w:szCs w:val="20"/>
          <w:color w:val="auto"/>
        </w:rPr>
      </w:pPr>
    </w:p>
    <w:p>
      <w:pPr>
        <w:ind w:left="980" w:right="76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on the fair value measurements and classification of our financial assets and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COMPREHENSIVE INCOME</w:t>
      </w:r>
    </w:p>
    <w:p>
      <w:pPr>
        <w:spacing w:after="0" w:line="117" w:lineRule="exact"/>
        <w:rPr>
          <w:sz w:val="20"/>
          <w:szCs w:val="20"/>
          <w:color w:val="auto"/>
        </w:rPr>
      </w:pPr>
    </w:p>
    <w:p>
      <w:pPr>
        <w:ind w:left="980" w:right="500"/>
        <w:spacing w:after="0" w:line="279" w:lineRule="auto"/>
        <w:rPr>
          <w:sz w:val="20"/>
          <w:szCs w:val="20"/>
          <w:color w:val="auto"/>
        </w:rPr>
      </w:pPr>
      <w:r>
        <w:rPr>
          <w:rFonts w:ascii="Arial" w:cs="Arial" w:eastAsia="Arial" w:hAnsi="Arial"/>
          <w:sz w:val="18"/>
          <w:szCs w:val="18"/>
          <w:color w:val="auto"/>
        </w:rPr>
        <w:t>The following table is a summary of other comprehensive income and discloses the tax impact of each component of other comprehensive (loss) income for the three and six months ended June 30, 2024 and 2023 (in thousands):</w:t>
      </w:r>
    </w:p>
    <w:tbl>
      <w:tblPr>
        <w:tblLayout w:type="fixed"/>
        <w:tblInd w:w="98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2660" w:type="dxa"/>
            <w:vAlign w:val="bottom"/>
            <w:gridSpan w:val="6"/>
          </w:tcPr>
          <w:p>
            <w:pPr>
              <w:ind w:left="56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2260" w:type="dxa"/>
            <w:vAlign w:val="bottom"/>
            <w:gridSpan w:val="4"/>
          </w:tcPr>
          <w:p>
            <w:pPr>
              <w:jc w:val="right"/>
              <w:ind w:right="574"/>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unrealized gain on available-for-sale</w:t>
            </w:r>
          </w:p>
        </w:tc>
        <w:tc>
          <w:tcPr>
            <w:tcW w:w="78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securities, net of taxes </w:t>
            </w:r>
            <w:r>
              <w:rPr>
                <w:rFonts w:ascii="Arial" w:cs="Arial" w:eastAsia="Arial" w:hAnsi="Arial"/>
                <w:sz w:val="23"/>
                <w:szCs w:val="23"/>
                <w:color w:val="auto"/>
                <w:vertAlign w:val="superscript"/>
              </w:rPr>
              <w:t>(1)</w:t>
            </w:r>
          </w:p>
        </w:tc>
        <w:tc>
          <w:tcPr>
            <w:tcW w:w="78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rPr>
              <w:t>Net unrealized (loss) gain on interest rate swaps,</w:t>
            </w:r>
          </w:p>
        </w:tc>
        <w:tc>
          <w:tcPr>
            <w:tcW w:w="7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(292)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line="243" w:lineRule="exact"/>
              <w:rPr>
                <w:sz w:val="20"/>
                <w:szCs w:val="20"/>
                <w:color w:val="auto"/>
              </w:rPr>
            </w:pPr>
            <w:r>
              <w:rPr>
                <w:rFonts w:ascii="Arial" w:cs="Arial" w:eastAsia="Arial" w:hAnsi="Arial"/>
                <w:sz w:val="18"/>
                <w:szCs w:val="18"/>
                <w:color w:val="auto"/>
              </w:rPr>
              <w:t>net of taxes</w:t>
            </w:r>
            <w:r>
              <w:rPr>
                <w:rFonts w:ascii="Arial" w:cs="Arial" w:eastAsia="Arial" w:hAnsi="Arial"/>
                <w:sz w:val="23"/>
                <w:szCs w:val="23"/>
                <w:color w:val="auto"/>
                <w:vertAlign w:val="superscript"/>
              </w:rPr>
              <w:t>(2)</w:t>
            </w:r>
          </w:p>
        </w:tc>
        <w:tc>
          <w:tcPr>
            <w:tcW w:w="7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other comprehensive (loss) income</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98" w:right="35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40" w:hanging="5"/>
        <w:spacing w:after="0" w:line="260" w:lineRule="auto"/>
        <w:rPr>
          <w:sz w:val="20"/>
          <w:szCs w:val="20"/>
          <w:color w:val="auto"/>
        </w:rPr>
      </w:pPr>
      <w:r>
        <w:rPr>
          <w:rFonts w:ascii="Arial" w:cs="Arial" w:eastAsia="Arial" w:hAnsi="Arial"/>
          <w:sz w:val="18"/>
          <w:szCs w:val="18"/>
          <w:color w:val="auto"/>
        </w:rPr>
        <w:t>Net of income tax expense of $68 and $64 for the three months ended June 30, 2024 and 2023, respectively. Net of income tax expense of $89 and $135 for the six months ended June 30, 2024 and 2023, respectively.</w:t>
      </w:r>
    </w:p>
    <w:p>
      <w:pPr>
        <w:spacing w:after="0" w:line="2" w:lineRule="exact"/>
        <w:rPr>
          <w:sz w:val="20"/>
          <w:szCs w:val="20"/>
          <w:color w:val="auto"/>
        </w:rPr>
      </w:pPr>
    </w:p>
    <w:p>
      <w:pPr>
        <w:jc w:val="both"/>
        <w:ind w:hanging="5"/>
        <w:spacing w:after="0" w:line="258" w:lineRule="auto"/>
        <w:rPr>
          <w:sz w:val="20"/>
          <w:szCs w:val="20"/>
          <w:color w:val="auto"/>
        </w:rPr>
      </w:pPr>
      <w:r>
        <w:rPr>
          <w:rFonts w:ascii="Arial" w:cs="Arial" w:eastAsia="Arial" w:hAnsi="Arial"/>
          <w:sz w:val="18"/>
          <w:szCs w:val="18"/>
          <w:color w:val="auto"/>
        </w:rPr>
        <w:t>Net of income tax benefit of $99 and income tax expense of $449 for the three months ended June 30, 2024 and 2023, respectively. Net of income tax expense of $223 and income tax benefit of $14 for the six months ended June 30, 2024 and 2023, respectively.</w:t>
      </w:r>
    </w:p>
    <w:p>
      <w:pPr>
        <w:spacing w:after="0" w:line="200" w:lineRule="exact"/>
        <w:rPr>
          <w:sz w:val="20"/>
          <w:szCs w:val="20"/>
          <w:color w:val="auto"/>
        </w:rPr>
      </w:pPr>
    </w:p>
    <w:p>
      <w:pPr>
        <w:sectPr>
          <w:pgSz w:w="11900" w:h="16838" w:orient="portrait"/>
          <w:cols w:equalWidth="0" w:num="2">
            <w:col w:w="1120" w:space="680"/>
            <w:col w:w="9420"/>
          </w:cols>
          <w:pgMar w:left="320" w:top="998" w:right="35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STOCK PLANS</w:t>
      </w:r>
    </w:p>
    <w:p>
      <w:pPr>
        <w:spacing w:after="0" w:line="117"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color w:val="auto"/>
        </w:rPr>
        <w:t>On May 10, 2023, the shareholders of the Company approved an amendment to the 2019 Stock Omnibus Incentive Plan (the “2019 Plan”). The amendment added 1.5 million shares to the total number of shares that may be issued under the 2019 Plan. All other respects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the Annual Report on Form 10-K for the year ended December 31, 2023 for further discussion on the 2019 Plan.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14" w:name="page15"/>
    <w:bookmarkEnd w:id="14"/>
    <w:p>
      <w:pPr>
        <w:ind w:left="480" w:right="20"/>
        <w:spacing w:after="0" w:line="287" w:lineRule="auto"/>
        <w:rPr>
          <w:sz w:val="20"/>
          <w:szCs w:val="20"/>
          <w:color w:val="auto"/>
        </w:rPr>
      </w:pPr>
      <w:r>
        <w:rPr>
          <w:rFonts w:ascii="Arial" w:cs="Arial" w:eastAsia="Arial" w:hAnsi="Arial"/>
          <w:sz w:val="18"/>
          <w:szCs w:val="18"/>
          <w:color w:val="auto"/>
        </w:rPr>
        <w:t>Compensation expense for stock-based awards recognized during the three and six months ended June 30, 2024 and 2023 was as follows (in thousands):</w:t>
      </w:r>
    </w:p>
    <w:p>
      <w:pPr>
        <w:spacing w:after="0" w:line="6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Restricted stock units and awards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w:t>
            </w: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480" w:right="40"/>
        <w:spacing w:after="0" w:line="287" w:lineRule="auto"/>
        <w:rPr>
          <w:sz w:val="20"/>
          <w:szCs w:val="20"/>
          <w:color w:val="auto"/>
        </w:rPr>
      </w:pPr>
      <w:r>
        <w:rPr>
          <w:rFonts w:ascii="Arial" w:cs="Arial" w:eastAsia="Arial" w:hAnsi="Arial"/>
          <w:sz w:val="18"/>
          <w:szCs w:val="18"/>
          <w:b w:val="1"/>
          <w:bCs w:val="1"/>
          <w:color w:val="auto"/>
        </w:rPr>
        <w:t xml:space="preserve">Stock Options and Restricted Stock Units and Awards – </w:t>
      </w:r>
      <w:r>
        <w:rPr>
          <w:rFonts w:ascii="Arial" w:cs="Arial" w:eastAsia="Arial" w:hAnsi="Arial"/>
          <w:sz w:val="18"/>
          <w:szCs w:val="18"/>
          <w:color w:val="auto"/>
        </w:rPr>
        <w:t>The Company did not grant any stock options during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2024.</w:t>
      </w:r>
    </w:p>
    <w:p>
      <w:pPr>
        <w:spacing w:after="0" w:line="45" w:lineRule="exact"/>
        <w:rPr>
          <w:sz w:val="20"/>
          <w:szCs w:val="20"/>
          <w:color w:val="auto"/>
        </w:rPr>
      </w:pPr>
    </w:p>
    <w:p>
      <w:pPr>
        <w:ind w:left="480" w:right="660"/>
        <w:spacing w:after="0" w:line="287" w:lineRule="auto"/>
        <w:rPr>
          <w:sz w:val="20"/>
          <w:szCs w:val="20"/>
          <w:color w:val="auto"/>
        </w:rPr>
      </w:pPr>
      <w:r>
        <w:rPr>
          <w:rFonts w:ascii="Arial" w:cs="Arial" w:eastAsia="Arial" w:hAnsi="Arial"/>
          <w:sz w:val="18"/>
          <w:szCs w:val="18"/>
          <w:color w:val="auto"/>
        </w:rPr>
        <w:t>The following table presents our restricted stock units and awards activity during the six months ended June 30, 2024 (in thousands, except per share data):</w:t>
      </w:r>
    </w:p>
    <w:p>
      <w:pPr>
        <w:spacing w:after="0" w:line="82"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604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Restricted Stock Units and Awards</w:t>
            </w:r>
          </w:p>
        </w:tc>
      </w:tr>
      <w:tr>
        <w:trPr>
          <w:trHeight w:val="161"/>
        </w:trPr>
        <w:tc>
          <w:tcPr>
            <w:tcW w:w="6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rPr>
              <w:t>Weighted Average</w:t>
            </w:r>
          </w:p>
        </w:tc>
      </w:tr>
      <w:tr>
        <w:trPr>
          <w:trHeight w:val="144"/>
        </w:trPr>
        <w:tc>
          <w:tcPr>
            <w:tcW w:w="6040" w:type="dxa"/>
            <w:vAlign w:val="bottom"/>
          </w:tcPr>
          <w:p>
            <w:pPr>
              <w:spacing w:after="0"/>
              <w:rPr>
                <w:sz w:val="12"/>
                <w:szCs w:val="12"/>
                <w:color w:val="auto"/>
              </w:rPr>
            </w:pPr>
          </w:p>
        </w:tc>
        <w:tc>
          <w:tcPr>
            <w:tcW w:w="1380" w:type="dxa"/>
            <w:vAlign w:val="bottom"/>
          </w:tcPr>
          <w:p>
            <w:pPr>
              <w:jc w:val="right"/>
              <w:ind w:right="256"/>
              <w:spacing w:after="0" w:line="145"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rPr>
              <w:t>Grant-Date</w:t>
            </w:r>
          </w:p>
        </w:tc>
      </w:tr>
      <w:tr>
        <w:trPr>
          <w:trHeight w:val="189"/>
        </w:trPr>
        <w:tc>
          <w:tcPr>
            <w:tcW w:w="60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67.49</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or released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 or 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38.52</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June 30, 2024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r>
      <w:tr>
        <w:trPr>
          <w:trHeight w:val="239"/>
        </w:trPr>
        <w:tc>
          <w:tcPr>
            <w:tcW w:w="6040" w:type="dxa"/>
            <w:vAlign w:val="bottom"/>
          </w:tcPr>
          <w:p>
            <w:pPr>
              <w:ind w:left="20"/>
              <w:spacing w:after="0"/>
              <w:rPr>
                <w:sz w:val="20"/>
                <w:szCs w:val="20"/>
                <w:color w:val="auto"/>
              </w:rPr>
            </w:pPr>
            <w:r>
              <w:rPr>
                <w:rFonts w:ascii="Arial" w:cs="Arial" w:eastAsia="Arial" w:hAnsi="Arial"/>
                <w:sz w:val="18"/>
                <w:szCs w:val="18"/>
                <w:color w:val="auto"/>
              </w:rPr>
              <w:t>Exercisable at June 30, 2024</w:t>
            </w:r>
          </w:p>
        </w:tc>
        <w:tc>
          <w:tcPr>
            <w:tcW w:w="138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56.04</w:t>
            </w:r>
          </w:p>
        </w:tc>
      </w:tr>
    </w:tbl>
    <w:p>
      <w:pPr>
        <w:spacing w:after="0" w:line="284" w:lineRule="exact"/>
        <w:rPr>
          <w:sz w:val="20"/>
          <w:szCs w:val="20"/>
          <w:color w:val="auto"/>
        </w:rPr>
      </w:pPr>
    </w:p>
    <w:p>
      <w:pPr>
        <w:ind w:left="1280" w:hanging="800"/>
        <w:spacing w:after="0"/>
        <w:tabs>
          <w:tab w:leader="none" w:pos="128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shares; awards are granted at no cost to the recipients.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Performance Share Units (“PSUs”) – </w:t>
      </w:r>
      <w:r>
        <w:rPr>
          <w:rFonts w:ascii="Arial" w:cs="Arial" w:eastAsia="Arial" w:hAnsi="Arial"/>
          <w:sz w:val="18"/>
          <w:szCs w:val="18"/>
          <w:color w:val="auto"/>
        </w:rPr>
        <w:t>PSUs are earned based on our financial performance over a contractual term of three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years and the associated expense is recognized over that period based on the fair value of the award. A three-year cliff vesting</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 of the PSUs is dependent upon the Company’s performance relative to pre-established goals based on an earnings per</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 target (weighted 70%) and total growth in revenue (weighted 30%). The fair value of PSUs is calculated using the market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value of a share of our common stock on the date of grant. For performance achieved above specified levels, the recipient may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earn additional shares of stock, not to exceed 200% of the number of PSUs initially granted.</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our PSUs activity during the six months ended June 30, 2024 (in thousands, except per share data):</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right="219"/>
              <w:spacing w:after="0"/>
              <w:rPr>
                <w:sz w:val="20"/>
                <w:szCs w:val="20"/>
                <w:color w:val="auto"/>
              </w:rPr>
            </w:pPr>
            <w:r>
              <w:rPr>
                <w:rFonts w:ascii="Arial" w:cs="Arial" w:eastAsia="Arial" w:hAnsi="Arial"/>
                <w:sz w:val="14"/>
                <w:szCs w:val="14"/>
                <w:b w:val="1"/>
                <w:bCs w:val="1"/>
                <w:color w:val="auto"/>
              </w:rPr>
              <w:t>Weighted</w:t>
            </w:r>
          </w:p>
        </w:tc>
      </w:tr>
      <w:tr>
        <w:trPr>
          <w:trHeight w:val="144"/>
        </w:trPr>
        <w:tc>
          <w:tcPr>
            <w:tcW w:w="5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19"/>
              <w:spacing w:after="0" w:line="145" w:lineRule="exact"/>
              <w:rPr>
                <w:sz w:val="20"/>
                <w:szCs w:val="20"/>
                <w:color w:val="auto"/>
              </w:rPr>
            </w:pPr>
            <w:r>
              <w:rPr>
                <w:rFonts w:ascii="Arial" w:cs="Arial" w:eastAsia="Arial" w:hAnsi="Arial"/>
                <w:sz w:val="14"/>
                <w:szCs w:val="14"/>
                <w:b w:val="1"/>
                <w:bCs w:val="1"/>
                <w:color w:val="auto"/>
              </w:rPr>
              <w:t>Average</w:t>
            </w:r>
          </w:p>
        </w:tc>
      </w:tr>
      <w:tr>
        <w:trPr>
          <w:trHeight w:val="139"/>
        </w:trPr>
        <w:tc>
          <w:tcPr>
            <w:tcW w:w="5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39"/>
              <w:spacing w:after="0" w:line="139" w:lineRule="exact"/>
              <w:rPr>
                <w:sz w:val="20"/>
                <w:szCs w:val="20"/>
                <w:color w:val="auto"/>
              </w:rPr>
            </w:pPr>
            <w:r>
              <w:rPr>
                <w:rFonts w:ascii="Arial" w:cs="Arial" w:eastAsia="Arial" w:hAnsi="Arial"/>
                <w:sz w:val="14"/>
                <w:szCs w:val="14"/>
                <w:b w:val="1"/>
                <w:bCs w:val="1"/>
                <w:color w:val="auto"/>
              </w:rPr>
              <w:t>Grant-Date</w:t>
            </w:r>
          </w:p>
        </w:tc>
      </w:tr>
      <w:tr>
        <w:trPr>
          <w:trHeight w:val="158"/>
        </w:trPr>
        <w:tc>
          <w:tcPr>
            <w:tcW w:w="5820" w:type="dxa"/>
            <w:vAlign w:val="bottom"/>
          </w:tcPr>
          <w:p>
            <w:pPr>
              <w:spacing w:after="0"/>
              <w:rPr>
                <w:sz w:val="13"/>
                <w:szCs w:val="13"/>
                <w:color w:val="auto"/>
              </w:rPr>
            </w:pPr>
          </w:p>
        </w:tc>
        <w:tc>
          <w:tcPr>
            <w:tcW w:w="16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219"/>
              <w:spacing w:after="0" w:line="158" w:lineRule="exact"/>
              <w:rPr>
                <w:sz w:val="20"/>
                <w:szCs w:val="20"/>
                <w:color w:val="auto"/>
              </w:rPr>
            </w:pPr>
            <w:r>
              <w:rPr>
                <w:rFonts w:ascii="Arial" w:cs="Arial" w:eastAsia="Arial" w:hAnsi="Arial"/>
                <w:sz w:val="14"/>
                <w:szCs w:val="14"/>
                <w:b w:val="1"/>
                <w:bCs w:val="1"/>
                <w:color w:val="auto"/>
              </w:rPr>
              <w:t>Fair Value</w:t>
            </w:r>
          </w:p>
        </w:tc>
      </w:tr>
      <w:tr>
        <w:trPr>
          <w:trHeight w:val="189"/>
        </w:trPr>
        <w:tc>
          <w:tcPr>
            <w:tcW w:w="58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9"/>
              <w:spacing w:after="0" w:line="189" w:lineRule="exact"/>
              <w:rPr>
                <w:sz w:val="20"/>
                <w:szCs w:val="20"/>
                <w:color w:val="auto"/>
              </w:rPr>
            </w:pPr>
            <w:r>
              <w:rPr>
                <w:rFonts w:ascii="Arial" w:cs="Arial" w:eastAsia="Arial" w:hAnsi="Arial"/>
                <w:sz w:val="14"/>
                <w:szCs w:val="14"/>
                <w:b w:val="1"/>
                <w:bCs w:val="1"/>
                <w:color w:val="auto"/>
                <w:w w:val="99"/>
              </w:rPr>
              <w:t xml:space="preserve">Per Unit </w:t>
            </w:r>
            <w:r>
              <w:rPr>
                <w:rFonts w:ascii="Arial" w:cs="Arial" w:eastAsia="Arial" w:hAnsi="Arial"/>
                <w:sz w:val="18"/>
                <w:szCs w:val="18"/>
                <w:b w:val="1"/>
                <w:bCs w:val="1"/>
                <w:color w:val="auto"/>
                <w:w w:val="99"/>
                <w:vertAlign w:val="superscript"/>
              </w:rPr>
              <w:t>(1)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39.09</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1280" w:hanging="800"/>
        <w:spacing w:after="0"/>
        <w:tabs>
          <w:tab w:leader="none" w:pos="12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PSUs; PSUs are granted at no cost to the recipients.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8" w:lineRule="exact"/>
        <w:rPr>
          <w:rFonts w:ascii="Arial" w:cs="Arial" w:eastAsia="Arial" w:hAnsi="Arial"/>
          <w:sz w:val="23"/>
          <w:szCs w:val="23"/>
          <w:color w:val="auto"/>
          <w:vertAlign w:val="superscript"/>
        </w:rPr>
      </w:pPr>
    </w:p>
    <w:p>
      <w:pPr>
        <w:ind w:left="5040"/>
        <w:spacing w:after="0"/>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20" w:top="99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10. EARNINGS PER SHARE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sets forth the computation of basic and diluted earnings per share for the three and six months ended</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June 30, 2024 and 2023 (in thousands, except per share data):</w:t>
      </w:r>
    </w:p>
    <w:p>
      <w:pPr>
        <w:spacing w:after="0" w:line="11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9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96,677</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100,023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Basic</w:t>
            </w:r>
          </w:p>
        </w:tc>
        <w:tc>
          <w:tcPr>
            <w:tcW w:w="27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Stock options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Restricted stock units and awards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Contingent shares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900" w:type="dxa"/>
            <w:vAlign w:val="bottom"/>
            <w:gridSpan w:val="3"/>
            <w:shd w:val="clear" w:color="auto" w:fill="CCEEFF"/>
          </w:tcPr>
          <w:p>
            <w:pPr>
              <w:ind w:left="240"/>
              <w:spacing w:after="0" w:line="156" w:lineRule="exact"/>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50,276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50,385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3"/>
            <w:shd w:val="clear" w:color="auto" w:fill="CCEEFF"/>
          </w:tcPr>
          <w:p>
            <w:pPr>
              <w:ind w:left="400"/>
              <w:spacing w:after="0" w:line="216"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3"/>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0" w:right="399" w:bottom="1440" w:gutter="0" w:footer="0" w:header="0"/>
        </w:sectPr>
      </w:pPr>
    </w:p>
    <w:p>
      <w:pPr>
        <w:spacing w:after="0" w:line="11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hanging="5"/>
        <w:spacing w:after="0" w:line="262" w:lineRule="auto"/>
        <w:rPr>
          <w:sz w:val="20"/>
          <w:szCs w:val="20"/>
          <w:color w:val="auto"/>
        </w:rPr>
      </w:pPr>
      <w:r>
        <w:rPr>
          <w:rFonts w:ascii="Arial" w:cs="Arial" w:eastAsia="Arial" w:hAnsi="Arial"/>
          <w:sz w:val="18"/>
          <w:szCs w:val="18"/>
          <w:color w:val="auto"/>
        </w:rPr>
        <w:t>A total of 9 thousand and 96 thousand shares of stock-based awards were excluded from the calculation of diluted earnings per share for three and six months ended June 30, 2024, respectively, as their effect would be anti-dilutive. A total of 12 thousand and 53 thousand shares of stock-based awards were excluded from the calculation of diluted earnings per share for three and six months ended June 30, 2023, respectively, as their effect would be anti-dilutive.</w:t>
      </w:r>
    </w:p>
    <w:p>
      <w:pPr>
        <w:spacing w:after="0" w:line="68" w:lineRule="exact"/>
        <w:rPr>
          <w:sz w:val="20"/>
          <w:szCs w:val="20"/>
          <w:color w:val="auto"/>
        </w:rPr>
      </w:pPr>
    </w:p>
    <w:p>
      <w:pPr>
        <w:ind w:hanging="5"/>
        <w:spacing w:after="0" w:line="287" w:lineRule="auto"/>
        <w:rPr>
          <w:sz w:val="20"/>
          <w:szCs w:val="20"/>
          <w:color w:val="auto"/>
        </w:rPr>
      </w:pPr>
      <w:r>
        <w:rPr>
          <w:rFonts w:ascii="Arial" w:cs="Arial" w:eastAsia="Arial" w:hAnsi="Arial"/>
          <w:sz w:val="18"/>
          <w:szCs w:val="18"/>
          <w:color w:val="auto"/>
        </w:rPr>
        <w:t>Contingent shares represent additional shares to be issued for purchase price earned by former owners of businesses acquired by us once future considerations have been met.</w:t>
      </w:r>
    </w:p>
    <w:p>
      <w:pPr>
        <w:spacing w:after="0" w:line="45" w:lineRule="exact"/>
        <w:rPr>
          <w:sz w:val="20"/>
          <w:szCs w:val="20"/>
          <w:color w:val="auto"/>
        </w:rPr>
      </w:pPr>
    </w:p>
    <w:p>
      <w:pPr>
        <w:jc w:val="both"/>
        <w:ind w:right="100" w:hanging="5"/>
        <w:spacing w:after="0" w:line="259" w:lineRule="auto"/>
        <w:rPr>
          <w:sz w:val="20"/>
          <w:szCs w:val="20"/>
          <w:color w:val="auto"/>
        </w:rPr>
      </w:pPr>
      <w:r>
        <w:rPr>
          <w:rFonts w:ascii="Arial" w:cs="Arial" w:eastAsia="Arial" w:hAnsi="Arial"/>
          <w:sz w:val="18"/>
          <w:szCs w:val="18"/>
          <w:color w:val="auto"/>
        </w:rPr>
        <w:t>The denominator used in calculating diluted earnings per share did not include 254 thousand PSUs for both the three and six months ended June 30, 2024. The denominator used in calculating diluted earnings per share did not include 220 thousand PSUs for both the three and six months ended June 30, 2023.The performance conditions associated with these PSUs were not met and consequently none of these PSUs were considered as issuable for the three and six months ended June 30, 2024 and 2023.</w:t>
      </w:r>
    </w:p>
    <w:p>
      <w:pPr>
        <w:spacing w:after="0" w:line="200" w:lineRule="exact"/>
        <w:rPr>
          <w:sz w:val="20"/>
          <w:szCs w:val="20"/>
          <w:color w:val="auto"/>
        </w:rPr>
      </w:pPr>
    </w:p>
    <w:p>
      <w:pPr>
        <w:sectPr>
          <w:pgSz w:w="11900" w:h="16838" w:orient="portrait"/>
          <w:cols w:equalWidth="0" w:num="2">
            <w:col w:w="1120" w:space="680"/>
            <w:col w:w="9380"/>
          </w:cols>
          <w:pgMar w:left="320" w:top="89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SEGMENT DISCLOSURES</w:t>
      </w:r>
    </w:p>
    <w:p>
      <w:pPr>
        <w:spacing w:after="0" w:line="117"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A general description of services provided by each practice group is provided in the table below.</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235"/>
        </w:trPr>
        <w:tc>
          <w:tcPr>
            <w:tcW w:w="3140" w:type="dxa"/>
            <w:vAlign w:val="bottom"/>
            <w:gridSpan w:val="2"/>
          </w:tcPr>
          <w:p>
            <w:pPr>
              <w:ind w:left="740"/>
              <w:spacing w:after="0"/>
              <w:rPr>
                <w:sz w:val="20"/>
                <w:szCs w:val="20"/>
                <w:color w:val="auto"/>
              </w:rPr>
            </w:pPr>
            <w:r>
              <w:rPr>
                <w:rFonts w:ascii="Arial" w:cs="Arial" w:eastAsia="Arial" w:hAnsi="Arial"/>
                <w:sz w:val="18"/>
                <w:szCs w:val="18"/>
                <w:b w:val="1"/>
                <w:bCs w:val="1"/>
                <w:color w:val="auto"/>
              </w:rPr>
              <w:t>Financial Services</w:t>
            </w:r>
          </w:p>
        </w:tc>
        <w:tc>
          <w:tcPr>
            <w:tcW w:w="3160" w:type="dxa"/>
            <w:vAlign w:val="bottom"/>
            <w:gridSpan w:val="2"/>
          </w:tcPr>
          <w:p>
            <w:pPr>
              <w:ind w:left="140"/>
              <w:spacing w:after="0"/>
              <w:rPr>
                <w:sz w:val="20"/>
                <w:szCs w:val="20"/>
                <w:color w:val="auto"/>
              </w:rPr>
            </w:pPr>
            <w:r>
              <w:rPr>
                <w:rFonts w:ascii="Arial" w:cs="Arial" w:eastAsia="Arial" w:hAnsi="Arial"/>
                <w:sz w:val="18"/>
                <w:szCs w:val="18"/>
                <w:b w:val="1"/>
                <w:bCs w:val="1"/>
                <w:color w:val="auto"/>
              </w:rPr>
              <w:t>Benefits and Insurance Services</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National Practices</w:t>
            </w:r>
          </w:p>
        </w:tc>
      </w:tr>
      <w:tr>
        <w:trPr>
          <w:trHeight w:val="169"/>
        </w:trPr>
        <w:tc>
          <w:tcPr>
            <w:tcW w:w="30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Accounting and Tax</w:t>
            </w:r>
          </w:p>
        </w:tc>
        <w:tc>
          <w:tcPr>
            <w:tcW w:w="10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Employee Benefits Consulting</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Information Technology Managed</w:t>
            </w:r>
          </w:p>
        </w:tc>
      </w:tr>
      <w:tr>
        <w:trPr>
          <w:trHeight w:val="243"/>
        </w:trPr>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Networking and Hardware Services</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Financial Advisory</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Payroll / Human Capital Management</w:t>
            </w:r>
          </w:p>
        </w:tc>
        <w:tc>
          <w:tcPr>
            <w:tcW w:w="3040" w:type="dxa"/>
            <w:vAlign w:val="bottom"/>
          </w:tcPr>
          <w:p>
            <w:pPr>
              <w:spacing w:after="0"/>
              <w:rPr>
                <w:sz w:val="20"/>
                <w:szCs w:val="20"/>
                <w:color w:val="auto"/>
              </w:rPr>
            </w:pPr>
            <w:r>
              <w:rPr>
                <w:rFonts w:ascii="Arial" w:cs="Arial" w:eastAsia="Arial" w:hAnsi="Arial"/>
                <w:sz w:val="18"/>
                <w:szCs w:val="18"/>
                <w:color w:val="auto"/>
              </w:rPr>
              <w:t>Healthcare Consulting</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Casualty Insurance</w:t>
            </w:r>
          </w:p>
        </w:tc>
        <w:tc>
          <w:tcPr>
            <w:tcW w:w="3040" w:type="dxa"/>
            <w:vAlign w:val="bottom"/>
            <w:shd w:val="clear" w:color="auto" w:fill="CCEEFF"/>
          </w:tcPr>
          <w:p>
            <w:pPr>
              <w:spacing w:after="0"/>
              <w:rPr>
                <w:sz w:val="19"/>
                <w:szCs w:val="19"/>
                <w:color w:val="auto"/>
              </w:rPr>
            </w:pP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Risk and Advisory Services</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Retirement and Investment Services</w:t>
            </w:r>
          </w:p>
        </w:tc>
        <w:tc>
          <w:tcPr>
            <w:tcW w:w="3040" w:type="dxa"/>
            <w:vAlign w:val="bottom"/>
          </w:tcPr>
          <w:p>
            <w:pPr>
              <w:spacing w:after="0"/>
              <w:rPr>
                <w:sz w:val="19"/>
                <w:szCs w:val="19"/>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Government Healthcare Consulting</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left="980" w:right="140"/>
        <w:spacing w:after="0" w:line="262"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Included in Corporate and Other are operating expenses that are not directly allocated to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68"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Accounting policies of the practice groups are the same as those described in Note 1, Basis of Presentation and Significant Accounting Policies, to the Annual Report on Form 10-K for the year ended December 31, 2023.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the “Corporate and Other”.</w:t>
      </w:r>
    </w:p>
    <w:p>
      <w:pPr>
        <w:spacing w:after="0" w:line="71" w:lineRule="exact"/>
        <w:rPr>
          <w:sz w:val="20"/>
          <w:szCs w:val="20"/>
          <w:color w:val="auto"/>
        </w:rPr>
      </w:pPr>
    </w:p>
    <w:p>
      <w:pPr>
        <w:ind w:left="980" w:right="200"/>
        <w:spacing w:after="0" w:line="287" w:lineRule="auto"/>
        <w:rPr>
          <w:sz w:val="20"/>
          <w:szCs w:val="20"/>
          <w:color w:val="auto"/>
        </w:rPr>
      </w:pPr>
      <w:r>
        <w:rPr>
          <w:rFonts w:ascii="Arial" w:cs="Arial" w:eastAsia="Arial" w:hAnsi="Arial"/>
          <w:sz w:val="18"/>
          <w:szCs w:val="18"/>
          <w:color w:val="auto"/>
        </w:rPr>
        <w:t>Segment information for the three and six months ended June 30, 2024 and 2023 is presented below. We do not manage our assets on a segment basis, therefore segment assets are not presented below.</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disaggregates our revenue by source (in thousands):</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2024</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309,233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309,233</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93,533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309,233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97,419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420,012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 2023</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290,930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290,930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91,031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290,930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95,838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398,502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0"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 2024</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681,863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198,738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198,738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681,863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205,827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914,309</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4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 2023</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tax, advisory and consulting</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634,016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634,016</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Core benefits and insurance services</w:t>
            </w:r>
          </w:p>
        </w:tc>
        <w:tc>
          <w:tcPr>
            <w:tcW w:w="2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187,648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187,648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Non-core benefits and insurance services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Managed networking, hardware services</w:t>
            </w:r>
          </w:p>
        </w:tc>
        <w:tc>
          <w:tcPr>
            <w:tcW w:w="2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18,021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 consulting</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634,016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195,892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853,108</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June 30, 2024 and 2023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June 30,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420,012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366,368</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31,594</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300" w:top="1413" w:right="1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June 30, 2023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Insurance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Practices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398,502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54,515</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43"/>
        </w:trPr>
        <w:tc>
          <w:tcPr>
            <w:tcW w:w="38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(loss), net</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June 30, 2024 and 2023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12"/>
          </w:tcPr>
          <w:p>
            <w:pPr>
              <w:ind w:left="400"/>
              <w:spacing w:after="0"/>
              <w:rPr>
                <w:sz w:val="20"/>
                <w:szCs w:val="20"/>
                <w:color w:val="auto"/>
              </w:rPr>
            </w:pPr>
            <w:r>
              <w:rPr>
                <w:rFonts w:ascii="Arial" w:cs="Arial" w:eastAsia="Arial" w:hAnsi="Arial"/>
                <w:sz w:val="14"/>
                <w:szCs w:val="14"/>
                <w:b w:val="1"/>
                <w:bCs w:val="1"/>
                <w:color w:val="auto"/>
              </w:rPr>
              <w:t>Six Months Ended June 30,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National</w:t>
            </w: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Insurance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40"/>
              <w:spacing w:after="0" w:line="145" w:lineRule="exact"/>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Practices</w:t>
            </w:r>
          </w:p>
        </w:tc>
        <w:tc>
          <w:tcPr>
            <w:tcW w:w="120" w:type="dxa"/>
            <w:vAlign w:val="bottom"/>
          </w:tcPr>
          <w:p>
            <w:pPr>
              <w:spacing w:after="0"/>
              <w:rPr>
                <w:sz w:val="16"/>
                <w:szCs w:val="16"/>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914,309</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742,853</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171,456</w:t>
            </w:r>
          </w:p>
        </w:tc>
        <w:tc>
          <w:tcPr>
            <w:tcW w:w="0" w:type="dxa"/>
            <w:vAlign w:val="bottom"/>
          </w:tcPr>
          <w:p>
            <w:pPr>
              <w:spacing w:after="0"/>
              <w:rPr>
                <w:sz w:val="1"/>
                <w:szCs w:val="1"/>
                <w:color w:val="auto"/>
              </w:rPr>
            </w:pPr>
          </w:p>
        </w:tc>
      </w:tr>
      <w:tr>
        <w:trPr>
          <w:trHeight w:val="184"/>
        </w:trPr>
        <w:tc>
          <w:tcPr>
            <w:tcW w:w="3600" w:type="dxa"/>
            <w:vAlign w:val="bottom"/>
          </w:tcPr>
          <w:p>
            <w:pPr>
              <w:ind w:left="20"/>
              <w:spacing w:after="0" w:line="183" w:lineRule="exact"/>
              <w:rPr>
                <w:sz w:val="20"/>
                <w:szCs w:val="20"/>
                <w:color w:val="auto"/>
              </w:rPr>
            </w:pPr>
            <w:r>
              <w:rPr>
                <w:rFonts w:ascii="Arial" w:cs="Arial" w:eastAsia="Arial" w:hAnsi="Arial"/>
                <w:sz w:val="18"/>
                <w:szCs w:val="18"/>
                <w:color w:val="auto"/>
              </w:rPr>
              <w:t>Corporate general and administrative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40,761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40,761</w:t>
            </w:r>
          </w:p>
        </w:tc>
        <w:tc>
          <w:tcPr>
            <w:tcW w:w="0" w:type="dxa"/>
            <w:vAlign w:val="bottom"/>
          </w:tcPr>
          <w:p>
            <w:pPr>
              <w:spacing w:after="0"/>
              <w:rPr>
                <w:sz w:val="1"/>
                <w:szCs w:val="1"/>
                <w:color w:val="auto"/>
              </w:rPr>
            </w:pPr>
          </w:p>
        </w:tc>
      </w:tr>
      <w:tr>
        <w:trPr>
          <w:trHeight w:val="235"/>
        </w:trPr>
        <w:tc>
          <w:tcPr>
            <w:tcW w:w="36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130,695</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2"/>
          </w:tcPr>
          <w:p>
            <w:pPr>
              <w:ind w:left="380"/>
              <w:spacing w:after="0"/>
              <w:rPr>
                <w:sz w:val="20"/>
                <w:szCs w:val="20"/>
                <w:color w:val="auto"/>
              </w:rPr>
            </w:pPr>
            <w:r>
              <w:rPr>
                <w:rFonts w:ascii="Arial" w:cs="Arial" w:eastAsia="Arial" w:hAnsi="Arial"/>
                <w:sz w:val="14"/>
                <w:szCs w:val="14"/>
                <w:b w:val="1"/>
                <w:bCs w:val="1"/>
                <w:color w:val="auto"/>
              </w:rPr>
              <w:t>Six Months Ended June 30, 2023</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National</w:t>
            </w: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Insurance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Practices</w:t>
            </w:r>
          </w:p>
        </w:tc>
        <w:tc>
          <w:tcPr>
            <w:tcW w:w="120" w:type="dxa"/>
            <w:vAlign w:val="bottom"/>
          </w:tcPr>
          <w:p>
            <w:pPr>
              <w:spacing w:after="0"/>
              <w:rPr>
                <w:sz w:val="16"/>
                <w:szCs w:val="16"/>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853,108</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 (income)</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684,998</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and administrative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31,391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31,391</w:t>
            </w:r>
          </w:p>
        </w:tc>
        <w:tc>
          <w:tcPr>
            <w:tcW w:w="0" w:type="dxa"/>
            <w:vAlign w:val="bottom"/>
          </w:tcPr>
          <w:p>
            <w:pPr>
              <w:spacing w:after="0"/>
              <w:rPr>
                <w:sz w:val="1"/>
                <w:szCs w:val="1"/>
                <w:color w:val="auto"/>
              </w:rPr>
            </w:pPr>
          </w:p>
        </w:tc>
      </w:tr>
      <w:tr>
        <w:trPr>
          <w:trHeight w:val="243"/>
        </w:trPr>
        <w:tc>
          <w:tcPr>
            <w:tcW w:w="36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136,719</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138,176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60"/>
          </w:cols>
          <w:pgMar w:left="1300" w:top="103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300" w:top="1035" w:right="1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SUBSEQUENT EVENTS</w:t>
      </w:r>
    </w:p>
    <w:p>
      <w:pPr>
        <w:spacing w:after="0" w:line="347" w:lineRule="exact"/>
        <w:rPr>
          <w:sz w:val="20"/>
          <w:szCs w:val="20"/>
          <w:color w:val="auto"/>
        </w:rPr>
      </w:pPr>
    </w:p>
    <w:p>
      <w:pPr>
        <w:ind w:left="980" w:right="120"/>
        <w:spacing w:after="0" w:line="251" w:lineRule="auto"/>
        <w:rPr>
          <w:sz w:val="20"/>
          <w:szCs w:val="20"/>
          <w:color w:val="auto"/>
        </w:rPr>
      </w:pPr>
      <w:r>
        <w:rPr>
          <w:rFonts w:ascii="Arial" w:cs="Arial" w:eastAsia="Arial" w:hAnsi="Arial"/>
          <w:sz w:val="17"/>
          <w:szCs w:val="17"/>
          <w:color w:val="auto"/>
        </w:rPr>
        <w:t>On July 30, 2024, we entered into an Agreement and Plan of Merger (the “Merger Agreement”) with Marcum LLP, a New York registered limited liability partnership (“Marcum”), Marcum Advisory Group LLC, a Delaware limited liability company and wholly</w:t>
      </w:r>
    </w:p>
    <w:p>
      <w:pPr>
        <w:spacing w:after="0" w:line="1" w:lineRule="exact"/>
        <w:rPr>
          <w:sz w:val="20"/>
          <w:szCs w:val="20"/>
          <w:color w:val="auto"/>
        </w:rPr>
      </w:pPr>
    </w:p>
    <w:p>
      <w:pPr>
        <w:ind w:left="980" w:right="280"/>
        <w:spacing w:after="0" w:line="237" w:lineRule="auto"/>
        <w:rPr>
          <w:sz w:val="20"/>
          <w:szCs w:val="20"/>
          <w:color w:val="auto"/>
        </w:rPr>
      </w:pPr>
      <w:r>
        <w:rPr>
          <w:rFonts w:ascii="Arial" w:cs="Arial" w:eastAsia="Arial" w:hAnsi="Arial"/>
          <w:sz w:val="18"/>
          <w:szCs w:val="18"/>
          <w:color w:val="auto"/>
        </w:rPr>
        <w:t>owned subsidiary of Marcum (“MAG”), PMMS LLC, a Delaware limited liability company and a wholly owned subsidiary of the Company (“Merger Sub”), and Marcum Partners SPV LLC, a Delaware limited liability company.</w:t>
      </w:r>
    </w:p>
    <w:p>
      <w:pPr>
        <w:spacing w:after="0" w:line="59" w:lineRule="exact"/>
        <w:rPr>
          <w:sz w:val="20"/>
          <w:szCs w:val="20"/>
          <w:color w:val="auto"/>
        </w:rPr>
      </w:pPr>
    </w:p>
    <w:p>
      <w:pPr>
        <w:ind w:left="980"/>
        <w:spacing w:after="0" w:line="251" w:lineRule="auto"/>
        <w:rPr>
          <w:sz w:val="20"/>
          <w:szCs w:val="20"/>
          <w:color w:val="auto"/>
        </w:rPr>
      </w:pPr>
      <w:r>
        <w:rPr>
          <w:rFonts w:ascii="Arial" w:cs="Arial" w:eastAsia="Arial" w:hAnsi="Arial"/>
          <w:sz w:val="17"/>
          <w:szCs w:val="17"/>
          <w:color w:val="auto"/>
        </w:rPr>
        <w:t>Under the terms of the Merger Agreement, Merger Sub will merge with and into MAG, with MAG continuing as the surviving entity and as a wholly owned subsidiary of the Company (the “Merger”). Prior to the closing of the Merger, Marcum will contribute</w:t>
      </w:r>
    </w:p>
    <w:p>
      <w:pPr>
        <w:spacing w:after="0" w:line="1" w:lineRule="exact"/>
        <w:rPr>
          <w:sz w:val="20"/>
          <w:szCs w:val="20"/>
          <w:color w:val="auto"/>
        </w:rPr>
      </w:pPr>
    </w:p>
    <w:p>
      <w:pPr>
        <w:ind w:left="980" w:right="200"/>
        <w:spacing w:after="0" w:line="236" w:lineRule="auto"/>
        <w:rPr>
          <w:sz w:val="20"/>
          <w:szCs w:val="20"/>
          <w:color w:val="auto"/>
        </w:rPr>
      </w:pPr>
      <w:r>
        <w:rPr>
          <w:rFonts w:ascii="Arial" w:cs="Arial" w:eastAsia="Arial" w:hAnsi="Arial"/>
          <w:sz w:val="17"/>
          <w:szCs w:val="17"/>
          <w:color w:val="auto"/>
        </w:rPr>
        <w:t>substantially all of its non-attest business assets to MAG and MAG will assume substantially all of Marcum’s liabilities, in each case subject to certain exclusions. In a separate transaction, Mayer Hoffman McCann P.C., a national independent Certified Public Accounting firm with which the Company has an existing Administrative Service Agreement, will purchase from Marcum substantially all of Marcum’s attest business assets (the “Attest Purchase”). The Merger and the transactions contemplated by</w:t>
      </w:r>
    </w:p>
    <w:p>
      <w:pPr>
        <w:spacing w:after="0" w:line="1" w:lineRule="exact"/>
        <w:rPr>
          <w:sz w:val="20"/>
          <w:szCs w:val="20"/>
          <w:color w:val="auto"/>
        </w:rPr>
      </w:pPr>
    </w:p>
    <w:p>
      <w:pPr>
        <w:ind w:left="980" w:right="200"/>
        <w:spacing w:after="0" w:line="237" w:lineRule="auto"/>
        <w:rPr>
          <w:sz w:val="20"/>
          <w:szCs w:val="20"/>
          <w:color w:val="auto"/>
        </w:rPr>
      </w:pPr>
      <w:r>
        <w:rPr>
          <w:rFonts w:ascii="Arial" w:cs="Arial" w:eastAsia="Arial" w:hAnsi="Arial"/>
          <w:sz w:val="18"/>
          <w:szCs w:val="18"/>
          <w:color w:val="auto"/>
        </w:rPr>
        <w:t>the Merger Agreement are referred to herein as the “Transaction.” Subject to the satisfaction of the conditions described below and other customary closing conditions, the Transaction is expected to close in the fourth quarter of 2024.</w:t>
      </w:r>
    </w:p>
    <w:p>
      <w:pPr>
        <w:spacing w:after="0" w:line="73" w:lineRule="exact"/>
        <w:rPr>
          <w:sz w:val="20"/>
          <w:szCs w:val="20"/>
          <w:color w:val="auto"/>
        </w:rPr>
      </w:pPr>
    </w:p>
    <w:p>
      <w:pPr>
        <w:ind w:left="980" w:right="160"/>
        <w:spacing w:after="0" w:line="257" w:lineRule="auto"/>
        <w:rPr>
          <w:sz w:val="20"/>
          <w:szCs w:val="20"/>
          <w:color w:val="auto"/>
        </w:rPr>
      </w:pPr>
      <w:r>
        <w:rPr>
          <w:rFonts w:ascii="Arial" w:cs="Arial" w:eastAsia="Arial" w:hAnsi="Arial"/>
          <w:sz w:val="18"/>
          <w:szCs w:val="18"/>
          <w:color w:val="auto"/>
        </w:rPr>
        <w:t>The aggregate consideration to be paid by the Company in connection with the Transaction is approximately $2.3 billion, on a cash-free and debt-free basis and subject to calculation and adjustments as provided in the Merger Agreement, of which approximately $1.1 billion is expected to be paid in cash and the remainder is expected to be paid in approximately 14.4 million shares of the Company's Common Stock, par value $0.01 per share (the "Common Stock") (based on $76.84 per share as specified in the Merger Agreement, which was the 30-day volume weighted average price of our Common Stock as of three business days prior to the date of the Merger Agreement.</w:t>
      </w:r>
    </w:p>
    <w:p>
      <w:pPr>
        <w:spacing w:after="0" w:line="74" w:lineRule="exact"/>
        <w:rPr>
          <w:sz w:val="20"/>
          <w:szCs w:val="20"/>
          <w:color w:val="auto"/>
        </w:rPr>
      </w:pPr>
    </w:p>
    <w:p>
      <w:pPr>
        <w:ind w:left="980" w:right="160"/>
        <w:spacing w:after="0" w:line="256" w:lineRule="auto"/>
        <w:rPr>
          <w:sz w:val="20"/>
          <w:szCs w:val="20"/>
          <w:color w:val="auto"/>
        </w:rPr>
      </w:pPr>
      <w:r>
        <w:rPr>
          <w:rFonts w:ascii="Arial" w:cs="Arial" w:eastAsia="Arial" w:hAnsi="Arial"/>
          <w:sz w:val="18"/>
          <w:szCs w:val="18"/>
          <w:color w:val="auto"/>
        </w:rPr>
        <w:t>The consideration payable in shares of common stock (the “Shares”) will be delivered as follows: (i) approximately 5% of the Shares will be subject to continued service requirements and, subject to satisfaction of those requirements, be delivered on the fourth anniversary of the closing (“performance shares”); (ii) excluding those performance shares, approximately 25% of the Shares will be delivered on the later of three business days following closing and January 2, 2025; and (iii) the remaining approximately 75% of the Shares, excluding performance shares, will be delivered in 36 monthly installments after the initial delivery. The Shares, once fully issued, will constitute approximately 22% of the Company's outstanding shares, without giving effect to any subsequent issuances, repurchases or other changes in the number of shares outstanding.</w:t>
      </w:r>
    </w:p>
    <w:p>
      <w:pPr>
        <w:spacing w:after="0" w:line="75"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color w:val="auto"/>
        </w:rPr>
        <w:t>Each of the Company, Merger Sub, Marcum and MAG has provided customary representations, warranties and covenants in the Merger Agreement. The completion of the Merger is subject to various closing conditions, including, among others, (a) the expiration of all waiting periods and receipt of all approvals required under the Hart-Scott-Rodino Antitrust Improvements Act of 1976; (b) the Company obtaining stockholder approval of the issuance of the Shares in connection with the Transaction as required by the rules of the New York Stock Exchange; (c) Marcum obtaining the requisite approval of its partners as specified in the Merger Agreement; (d) the Company obtaining debt financing as contemplated by the commitment letter described below; and (e) the completion of the Attest Purchase.</w:t>
      </w:r>
    </w:p>
    <w:p>
      <w:pPr>
        <w:spacing w:after="0" w:line="75" w:lineRule="exact"/>
        <w:rPr>
          <w:sz w:val="20"/>
          <w:szCs w:val="20"/>
          <w:color w:val="auto"/>
        </w:rPr>
      </w:pPr>
    </w:p>
    <w:p>
      <w:pPr>
        <w:ind w:left="980" w:right="240"/>
        <w:spacing w:after="0" w:line="270" w:lineRule="auto"/>
        <w:rPr>
          <w:sz w:val="20"/>
          <w:szCs w:val="20"/>
          <w:color w:val="auto"/>
        </w:rPr>
      </w:pPr>
      <w:r>
        <w:rPr>
          <w:rFonts w:ascii="Arial" w:cs="Arial" w:eastAsia="Arial" w:hAnsi="Arial"/>
          <w:sz w:val="17"/>
          <w:szCs w:val="17"/>
          <w:color w:val="auto"/>
        </w:rPr>
        <w:t>The Merger Agreement contains customary termination rights for both the Company and Marcum. Both the Company and Marcum have the right to terminate the Merger Agreement if the Transaction is not consummated on or prior to May 1, 2025, subject to certain exceptions. In the case of certain terminations under the circumstances described in the Merger Agreement, the Company may be required to pay a termination fee to Marcum of $48.0 million if debt financing is not obtained or</w:t>
      </w:r>
    </w:p>
    <w:p>
      <w:pPr>
        <w:spacing w:after="0" w:line="2" w:lineRule="exact"/>
        <w:rPr>
          <w:sz w:val="20"/>
          <w:szCs w:val="20"/>
          <w:color w:val="auto"/>
        </w:rPr>
      </w:pPr>
    </w:p>
    <w:p>
      <w:pPr>
        <w:ind w:left="980" w:right="20"/>
        <w:spacing w:after="0" w:line="258" w:lineRule="auto"/>
        <w:rPr>
          <w:sz w:val="20"/>
          <w:szCs w:val="20"/>
          <w:color w:val="auto"/>
        </w:rPr>
      </w:pPr>
      <w:r>
        <w:rPr>
          <w:rFonts w:ascii="Arial" w:cs="Arial" w:eastAsia="Arial" w:hAnsi="Arial"/>
          <w:sz w:val="18"/>
          <w:szCs w:val="18"/>
          <w:color w:val="auto"/>
        </w:rPr>
        <w:t>$25.0 million if approval of the Company’s stockholders is not obtained or the Company’s board changes its recommendation with respect to the Transaction. Marcum may be required to pay a termination fee to the Company of $22.0 million if the requisite approval of Marcum partners is not obtained within the time period specified in the Merger Agreement.</w:t>
      </w:r>
    </w:p>
    <w:p>
      <w:pPr>
        <w:spacing w:after="0" w:line="57" w:lineRule="exact"/>
        <w:rPr>
          <w:sz w:val="20"/>
          <w:szCs w:val="20"/>
          <w:color w:val="auto"/>
        </w:rPr>
      </w:pPr>
    </w:p>
    <w:p>
      <w:pPr>
        <w:ind w:left="980" w:right="80"/>
        <w:spacing w:after="0" w:line="242" w:lineRule="auto"/>
        <w:rPr>
          <w:sz w:val="20"/>
          <w:szCs w:val="20"/>
          <w:color w:val="auto"/>
        </w:rPr>
      </w:pPr>
      <w:r>
        <w:rPr>
          <w:rFonts w:ascii="Arial" w:cs="Arial" w:eastAsia="Arial" w:hAnsi="Arial"/>
          <w:sz w:val="18"/>
          <w:szCs w:val="18"/>
          <w:color w:val="auto"/>
        </w:rPr>
        <w:t>The Company has obtained committed financing to, among other things, fund the cash portion of the purchase price pursuant to a commitment letter (the “Commitment Letter”) entered into on July 30, 2024, with Bank of America, N.A. and BofA Securities, Inc., which provides commitments for senior secured credit facilities (the “Senior Credit Facilities”) in an aggregate principal amount of $2.0 billion, consisting of (x) a $ 600 million five year senior secured revolving credit facility and (y) a $ 1.4 billion five year senior secured term loan facility. The funding of the Senior Credit Facilities is contingent on the satisfaction of customary conditions, including (i) execution and delivery of definitive documentation with</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8"/>
          <w:szCs w:val="18"/>
          <w:color w:val="auto"/>
        </w:rPr>
        <w:t>respect to the Senior Credit Facilities in accordance with the terms set forth in the Commitment Letter and (ii) consummation of the acquisition of Marcum.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300" w:top="985"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Unless the context otherwise requires, references in this Quarterly Report on Form 10-Q to “we”, “us”, “our”, "CBIZ" or the "Company" shall mean CBIZ, Inc., a Delaware corporation, and its operating subsidiaries.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discussion is intended to assist in the understanding of our financial position at June 30, 2024 and December 31, 2023, results of operations for the three and six months ended June 30, 2024 and 2023, and cash flows for the six months ended June 30, 2024 and 2023, and should be read in conjunction with the unaudited condensed consolidated financial statements and related notes included elsewhere in this Quarterly Report on Form 10-Q and with our Annual Report on Form 10-K for the year ended December 31, 2023.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the Annual Report on Form 10-K for the year ended December 31,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Insurance Services, and National Practices. Refer to Note 11, Segment Disclosures, to the accompanying unaudited condensed consolidated financial statements for a general description of services provided by each practice group.</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2023 for further discussion of our business and strategies, as well as the external relationships and regulatory factors that currently impact our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 for the three months ended June 30, 2024 increased by $21.5 million, or 5.4%, to $420.0 million from $ 398.5 million for the same period in 2023. Same-unit revenue increased by approximately $11.0 million, or 2.8%, as compared to the same period in 2023. Revenue from newly acquired operations contributed $10.5 million, or 2.6%, of incremental revenue for the three months ended June 30, 2024 as compared to the same period in 2023.</w:t>
      </w:r>
    </w:p>
    <w:p>
      <w:pPr>
        <w:spacing w:after="0" w:line="6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 for the six months ended June 30, 2024 increased by $61.2 million, or 7.2%, to $914.3 million from $853.1 million for the same period in 2023. Same-unit revenue increased by approximately $37.9 million, or 4.4%, as compared to the same period in 2023. Revenue from newly acquired operations contributed $23.3 million, or 2.7%, of incremental revenue for the six months ended June 30, 2024 as compared to the same period in 2023. A detailed discussion of revenue by practice group is included under "Operating Practice Groups".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income was $19.8 million, or $0.39 per diluted share, in the second quarter of 2024, compared to $26.9 million, or $0.53 per diluted share, in the second quarter of 2023. For the six months ended June 30, 2024, net income was $96.7 million, or $1.92 per diluted share, compared to $100.0 million, or $1.98 per diluted share, for the same period in 2023. Refer to “Results of Operations" for a detailed discussion of the components of net income.</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July 30, 2024, we entered into a Merger Agreement to acquire the non-attest business of Marcum for a total consideration of approximately 2.3 billion. The Merger and the transactions contemplated by the Merger Agreement are referred to herein as the “Transaction". Subject to the satisfaction of closing conditions, the Transaction is expected to close in the fourth quarter of 2024. Refer to Note 12. Subsequent Events to the accompanying unaudited condensed consolidated financial statements for further discussion regarding the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Use of Capital</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first priority for use of capital is to make strategic acquisitions. We also have the financing flexibility and the capacity to actively repurchase shares of our common stock. We believe that repurchasing shares of our common stock can be a prudent use of our financial resources, and that investing in our stock is an attractive use of capital and an efficient means to provide value to our stockholders. During the six months ended June 30, 2024, we completed three acquisitions for $22.5 million in cash. We also repurchased 0.2 million shares of our common stock for tax withholding purposes at a total cost of approximately $11.2 million in the six months ended June 30, 2024.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During the first quarter of 2024, the CBIZ Board of Directors authorized the purchase of up to 5.0 million shares of our common stock under our Share Repurchase Program (the “Share Repurchase Program”), which may be suspended or discontinued at any time and expires on March 31, 2025.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(the “SEC”) rules. CBIZ management will determine the timing and amount of the transactions based on its evaluation of market conditions and other factors.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revenue for the three and six months ended June 30, 2024 and 2023:</w:t>
      </w:r>
    </w:p>
    <w:p>
      <w:pPr>
        <w:spacing w:after="0" w:line="200" w:lineRule="exact"/>
        <w:rPr>
          <w:sz w:val="20"/>
          <w:szCs w:val="20"/>
          <w:color w:val="auto"/>
        </w:rPr>
      </w:pPr>
    </w:p>
    <w:p>
      <w:pPr>
        <w:spacing w:after="0" w:line="291"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26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280" w:type="dxa"/>
            <w:vAlign w:val="bottom"/>
            <w:gridSpan w:val="2"/>
          </w:tcPr>
          <w:p>
            <w:pPr>
              <w:ind w:left="440"/>
              <w:spacing w:after="0" w:line="147"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780" w:type="dxa"/>
            <w:vAlign w:val="bottom"/>
          </w:tcPr>
          <w:p>
            <w:pPr>
              <w:jc w:val="center"/>
              <w:ind w:right="17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1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8"/>
          </w:tcPr>
          <w:p>
            <w:pPr>
              <w:jc w:val="center"/>
              <w:ind w:left="798"/>
              <w:spacing w:after="0"/>
              <w:rPr>
                <w:sz w:val="20"/>
                <w:szCs w:val="20"/>
                <w:color w:val="auto"/>
              </w:rPr>
            </w:pPr>
            <w:r>
              <w:rPr>
                <w:rFonts w:ascii="Arial" w:cs="Arial" w:eastAsia="Arial" w:hAnsi="Arial"/>
                <w:sz w:val="14"/>
                <w:szCs w:val="14"/>
                <w:b w:val="1"/>
                <w:bCs w:val="1"/>
                <w:color w:val="auto"/>
              </w:rPr>
              <w:t>(Amounts in thousands, except percentages)</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309,233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97,419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95,838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w:t>
            </w:r>
          </w:p>
        </w:tc>
        <w:tc>
          <w:tcPr>
            <w:tcW w:w="128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3"/>
        </w:trPr>
        <w:tc>
          <w:tcPr>
            <w:tcW w:w="296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420,012</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398,502</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21,510</w:t>
            </w:r>
          </w:p>
        </w:tc>
        <w:tc>
          <w:tcPr>
            <w:tcW w:w="128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26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280" w:type="dxa"/>
            <w:vAlign w:val="bottom"/>
            <w:gridSpan w:val="2"/>
          </w:tcPr>
          <w:p>
            <w:pPr>
              <w:ind w:left="440"/>
              <w:spacing w:after="0" w:line="147"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780" w:type="dxa"/>
            <w:vAlign w:val="bottom"/>
          </w:tcPr>
          <w:p>
            <w:pPr>
              <w:jc w:val="center"/>
              <w:ind w:right="17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1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8"/>
          </w:tcPr>
          <w:p>
            <w:pPr>
              <w:jc w:val="center"/>
              <w:ind w:left="798"/>
              <w:spacing w:after="0"/>
              <w:rPr>
                <w:sz w:val="20"/>
                <w:szCs w:val="20"/>
                <w:color w:val="auto"/>
              </w:rPr>
            </w:pPr>
            <w:r>
              <w:rPr>
                <w:rFonts w:ascii="Arial" w:cs="Arial" w:eastAsia="Arial" w:hAnsi="Arial"/>
                <w:sz w:val="14"/>
                <w:szCs w:val="14"/>
                <w:b w:val="1"/>
                <w:bCs w:val="1"/>
                <w:color w:val="auto"/>
              </w:rPr>
              <w:t>(Amounts in thousands, except percentages)</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681,863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634,016</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205,827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195,892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9,935</w:t>
            </w:r>
          </w:p>
        </w:tc>
        <w:tc>
          <w:tcPr>
            <w:tcW w:w="128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3"/>
        </w:trPr>
        <w:tc>
          <w:tcPr>
            <w:tcW w:w="296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914,309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853,108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61,201</w:t>
            </w:r>
          </w:p>
        </w:tc>
        <w:tc>
          <w:tcPr>
            <w:tcW w:w="12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560"/>
        <w:spacing w:after="0" w:line="399" w:lineRule="auto"/>
        <w:rPr>
          <w:sz w:val="20"/>
          <w:szCs w:val="20"/>
          <w:color w:val="auto"/>
        </w:rPr>
      </w:pPr>
      <w:r>
        <w:rPr>
          <w:rFonts w:ascii="Arial" w:cs="Arial" w:eastAsia="Arial" w:hAnsi="Arial"/>
          <w:sz w:val="18"/>
          <w:szCs w:val="18"/>
          <w:color w:val="auto"/>
        </w:rPr>
        <w:t xml:space="preserve">A detailed discussion of same-unit revenue by practice group is included under “Operating Practice Groups.” </w:t>
      </w:r>
      <w:r>
        <w:rPr>
          <w:rFonts w:ascii="Arial" w:cs="Arial" w:eastAsia="Arial" w:hAnsi="Arial"/>
          <w:sz w:val="18"/>
          <w:szCs w:val="18"/>
          <w:b w:val="1"/>
          <w:bCs w:val="1"/>
          <w:i w:val="1"/>
          <w:iCs w:val="1"/>
          <w:color w:val="auto"/>
        </w:rPr>
        <w:t>Non-qualified Deferred Compensation Plan</w:t>
      </w:r>
    </w:p>
    <w:p>
      <w:pPr>
        <w:ind w:right="60"/>
        <w:spacing w:after="0" w:line="257" w:lineRule="auto"/>
        <w:rPr>
          <w:sz w:val="20"/>
          <w:szCs w:val="20"/>
          <w:color w:val="auto"/>
        </w:rPr>
      </w:pPr>
      <w:r>
        <w:rPr>
          <w:rFonts w:ascii="Arial" w:cs="Arial" w:eastAsia="Arial" w:hAnsi="Arial"/>
          <w:sz w:val="18"/>
          <w:szCs w:val="18"/>
          <w:color w:val="auto"/>
        </w:rPr>
        <w:t>We sponsor a non-qualified deferred compensation plan (the "deferred compensation plan"), under which a CBIZ employee’s compensation deferral is held in a rabbi trust and invested accordingly as directed by the employee. Income and expenses related to the deferred compensation plan, which are recorded in "Corporate and Other" for segment reporting purposes, are included in “Operating expenses”, “Gross margin” and “Corporate general and administrative expenses” and are directly offset by deferred compensation gains or losses in “Other (expense) income, net” in the accompanying unaudited Condensed Consolidated Statements of Comprehensive Income. The deferred compensation plan has no impact on “Income before income tax expense” or diluted 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Income and expenses related to the deferred compensation plan for the three and six months ended June 30, 2024 and 2023 are as follows:</w:t>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50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r>
      <w:tr>
        <w:trPr>
          <w:trHeight w:val="196"/>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8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2,283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10,859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Corporate general and administrative expenses</w:t>
            </w:r>
          </w:p>
        </w:tc>
        <w:tc>
          <w:tcPr>
            <w:tcW w:w="2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323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1,380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2,606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12,239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Excluding the impact of the above-mentioned income and expenses related to the deferred compensation plan, the operating results for the three and six months ended June 30, 2024 and 2023 are as follows: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10"/>
          </w:tcPr>
          <w:p>
            <w:pPr>
              <w:jc w:val="center"/>
              <w:ind w:right="180"/>
              <w:spacing w:after="0"/>
              <w:rPr>
                <w:sz w:val="20"/>
                <w:szCs w:val="20"/>
                <w:color w:val="auto"/>
              </w:rPr>
            </w:pPr>
            <w:r>
              <w:rPr>
                <w:rFonts w:ascii="Arial" w:cs="Arial" w:eastAsia="Arial" w:hAnsi="Arial"/>
                <w:sz w:val="13"/>
                <w:szCs w:val="13"/>
                <w:b w:val="1"/>
                <w:bCs w:val="1"/>
                <w:color w:val="auto"/>
                <w:w w:val="96"/>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vMerge w:val="restart"/>
          </w:tcPr>
          <w:p>
            <w:pPr>
              <w:spacing w:after="0"/>
              <w:rPr>
                <w:sz w:val="11"/>
                <w:szCs w:val="11"/>
                <w:color w:val="auto"/>
              </w:rPr>
            </w:pPr>
          </w:p>
        </w:tc>
        <w:tc>
          <w:tcPr>
            <w:tcW w:w="102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1"/>
                <w:szCs w:val="11"/>
                <w:color w:val="auto"/>
              </w:rPr>
            </w:pPr>
          </w:p>
        </w:tc>
        <w:tc>
          <w:tcPr>
            <w:tcW w:w="720" w:type="dxa"/>
            <w:vAlign w:val="bottom"/>
            <w:vMerge w:val="restart"/>
          </w:tcPr>
          <w:p>
            <w:pPr>
              <w:jc w:val="right"/>
              <w:ind w:right="91"/>
              <w:spacing w:after="0"/>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100" w:type="dxa"/>
            <w:vAlign w:val="bottom"/>
            <w:vMerge w:val="restart"/>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vMerge w:val="restart"/>
          </w:tcPr>
          <w:p>
            <w:pPr>
              <w:spacing w:after="0"/>
              <w:rPr>
                <w:sz w:val="11"/>
                <w:szCs w:val="11"/>
                <w:color w:val="auto"/>
              </w:rPr>
            </w:pPr>
          </w:p>
        </w:tc>
        <w:tc>
          <w:tcPr>
            <w:tcW w:w="102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5"/>
              </w:rPr>
              <w:t>Compensation</w:t>
            </w:r>
          </w:p>
        </w:tc>
        <w:tc>
          <w:tcPr>
            <w:tcW w:w="160" w:type="dxa"/>
            <w:vAlign w:val="bottom"/>
          </w:tcPr>
          <w:p>
            <w:pPr>
              <w:spacing w:after="0"/>
              <w:rPr>
                <w:sz w:val="11"/>
                <w:szCs w:val="11"/>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w w:val="93"/>
              </w:rPr>
              <w:t>Adjusted</w:t>
            </w:r>
          </w:p>
        </w:tc>
        <w:tc>
          <w:tcPr>
            <w:tcW w:w="8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rPr>
              <w:t>Plan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4"/>
              </w:rPr>
              <w:t>Plan</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5,102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59,617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31,594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34,200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5,733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44,455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28,193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38,609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38,609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bl>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9"/>
          </w:tcPr>
          <w:p>
            <w:pPr>
              <w:ind w:left="480"/>
              <w:spacing w:after="0"/>
              <w:rPr>
                <w:sz w:val="20"/>
                <w:szCs w:val="20"/>
                <w:color w:val="auto"/>
              </w:rPr>
            </w:pPr>
            <w:r>
              <w:rPr>
                <w:rFonts w:ascii="Arial" w:cs="Arial" w:eastAsia="Arial" w:hAnsi="Arial"/>
                <w:sz w:val="13"/>
                <w:szCs w:val="13"/>
                <w:b w:val="1"/>
                <w:bCs w:val="1"/>
                <w:color w:val="auto"/>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of Revenue</w:t>
            </w:r>
          </w:p>
        </w:tc>
        <w:tc>
          <w:tcPr>
            <w:tcW w:w="9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5"/>
              </w:rPr>
              <w:t>Compensation</w:t>
            </w:r>
          </w:p>
        </w:tc>
        <w:tc>
          <w:tcPr>
            <w:tcW w:w="1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171,456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182,315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168,110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9,862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177,972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0" w:type="dxa"/>
            <w:vAlign w:val="bottom"/>
          </w:tcPr>
          <w:p>
            <w:pPr>
              <w:spacing w:after="0"/>
              <w:rPr>
                <w:sz w:val="1"/>
                <w:szCs w:val="1"/>
                <w:color w:val="auto"/>
              </w:rPr>
            </w:pPr>
          </w:p>
        </w:tc>
      </w:tr>
      <w:tr>
        <w:trPr>
          <w:trHeight w:val="199"/>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130,695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142,934</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136,719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11,135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147,854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20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5"/>
        </w:trPr>
        <w:tc>
          <w:tcPr>
            <w:tcW w:w="2320" w:type="dxa"/>
            <w:vAlign w:val="bottom"/>
          </w:tcPr>
          <w:p>
            <w:pPr>
              <w:ind w:left="40"/>
              <w:spacing w:after="0"/>
              <w:rPr>
                <w:sz w:val="20"/>
                <w:szCs w:val="20"/>
                <w:color w:val="auto"/>
              </w:rPr>
            </w:pPr>
            <w:r>
              <w:rPr>
                <w:rFonts w:ascii="Arial" w:cs="Arial" w:eastAsia="Arial" w:hAnsi="Arial"/>
                <w:sz w:val="14"/>
                <w:szCs w:val="14"/>
                <w:color w:val="auto"/>
              </w:rPr>
              <w:t>Income before income tax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132,207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132,207</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138,176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operating expenses for the three and six months ended June 30, 2024 and 2023:</w:t>
      </w:r>
    </w:p>
    <w:p>
      <w:pPr>
        <w:spacing w:after="0" w:line="383"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 June 30,</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80" w:type="dxa"/>
            <w:vAlign w:val="bottom"/>
            <w:gridSpan w:val="8"/>
          </w:tcPr>
          <w:p>
            <w:pPr>
              <w:jc w:val="center"/>
              <w:ind w:left="974"/>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Financial 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262,809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243,445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Insurance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National Practices</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11,623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366,368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343,987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22,381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364,085</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4"/>
              <w:spacing w:after="0"/>
              <w:rPr>
                <w:sz w:val="20"/>
                <w:szCs w:val="20"/>
                <w:color w:val="auto"/>
              </w:rPr>
            </w:pPr>
            <w:r>
              <w:rPr>
                <w:rFonts w:ascii="Arial" w:cs="Arial" w:eastAsia="Arial" w:hAnsi="Arial"/>
                <w:sz w:val="18"/>
                <w:szCs w:val="18"/>
                <w:color w:val="auto"/>
              </w:rPr>
              <w:t>338,885</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55"/>
              <w:spacing w:after="0"/>
              <w:rPr>
                <w:sz w:val="20"/>
                <w:szCs w:val="20"/>
                <w:color w:val="auto"/>
              </w:rPr>
            </w:pPr>
            <w:r>
              <w:rPr>
                <w:rFonts w:ascii="Arial" w:cs="Arial" w:eastAsia="Arial" w:hAnsi="Arial"/>
                <w:sz w:val="18"/>
                <w:szCs w:val="18"/>
                <w:color w:val="auto"/>
              </w:rPr>
              <w:t>25,200</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430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 of revenue</w:t>
            </w:r>
          </w:p>
        </w:tc>
        <w:tc>
          <w:tcPr>
            <w:tcW w:w="3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4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Six Months Ended June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80" w:type="dxa"/>
            <w:vAlign w:val="bottom"/>
            <w:gridSpan w:val="8"/>
          </w:tcPr>
          <w:p>
            <w:pPr>
              <w:jc w:val="center"/>
              <w:ind w:left="974"/>
              <w:spacing w:after="0"/>
              <w:rPr>
                <w:sz w:val="20"/>
                <w:szCs w:val="20"/>
                <w:color w:val="auto"/>
              </w:rPr>
            </w:pPr>
            <w:r>
              <w:rPr>
                <w:rFonts w:ascii="Arial" w:cs="Arial" w:eastAsia="Arial" w:hAnsi="Arial"/>
                <w:sz w:val="14"/>
                <w:szCs w:val="14"/>
                <w:b w:val="1"/>
                <w:bCs w:val="1"/>
                <w:color w:val="auto"/>
              </w:rPr>
              <w:t>(Amounts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Financial Services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528,370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487,888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40,482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Insurance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166,880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155,297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National Practices</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23,961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21,128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20,685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742,853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684,998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57,855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731,994</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4"/>
              <w:spacing w:after="0"/>
              <w:rPr>
                <w:sz w:val="20"/>
                <w:szCs w:val="20"/>
                <w:color w:val="auto"/>
              </w:rPr>
            </w:pPr>
            <w:r>
              <w:rPr>
                <w:rFonts w:ascii="Arial" w:cs="Arial" w:eastAsia="Arial" w:hAnsi="Arial"/>
                <w:sz w:val="18"/>
                <w:szCs w:val="18"/>
                <w:color w:val="auto"/>
              </w:rPr>
              <w:t>675,136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56,858</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430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 of revenue</w:t>
            </w:r>
          </w:p>
        </w:tc>
        <w:tc>
          <w:tcPr>
            <w:tcW w:w="3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Three months ended June 30, 2024 compared to June 30, 2023. </w:t>
      </w:r>
      <w:r>
        <w:rPr>
          <w:rFonts w:ascii="Arial" w:cs="Arial" w:eastAsia="Arial" w:hAnsi="Arial"/>
          <w:sz w:val="18"/>
          <w:szCs w:val="18"/>
          <w:color w:val="auto"/>
        </w:rPr>
        <w:t>Total operating expenses for the three months ended June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$22.4 million, or 6.5%, to $366.4 million as compared to $344.0 million in the same period of 2023. The deferred compensation plan increased operating expenses by $2.3 million for the three months ended June 30, 2024, and by $5.1 million during the same period in 2023. Excluding the deferred compensation expenses, which were recorded in "Corporate and Other" for segment reporting purposes, operating expenses would have been $364.1 million and $338.9 million, or 86.7% and 85.0% of revenue, for the three months ended June 30, 2024 and 2023, respectively. In addition, operating expenses for the three months ended June 30, 2024 included approximately</w:t>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$0.2 million non-recurring integration costs associated with the acquisitions completed in 2024, and operating expenses for the three months ended June 30, 2023 included $0.6 million non-recurring integration costs associated with the Somerset CPAs and Advisors ("Somerset")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operating expenses relate to personnel costs, which include (i) salaries and benefits, (ii) commissions paid to producers,</w:t>
      </w:r>
    </w:p>
    <w:p>
      <w:pPr>
        <w:spacing w:after="0" w:line="27" w:lineRule="exact"/>
        <w:rPr>
          <w:sz w:val="20"/>
          <w:szCs w:val="20"/>
          <w:color w:val="auto"/>
        </w:rPr>
      </w:pPr>
    </w:p>
    <w:p>
      <w:pPr>
        <w:ind w:right="80" w:firstLine="8"/>
        <w:spacing w:after="0" w:line="254"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 compensation, and (iv) stock-based compensation. Excluding the impact of deferred compensation, which was recorded in "Corporate and Other" for segment reporting purposes, operating expenses increased by approximately $25.2 million during the three months ended June 30, 2024 as compared to the same period in 2023, driven by $18.1 million higher personnel costs (of which $5.0 million was the result of acquisitions), $2.8 million higher direct costs, $2.1 million higher technology costs, $0.9 million higher professional service costs, $0.6 million higher travel and entertainment costs, $0.4 million higher facility costs, and</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5" w:name="page26"/>
    <w:bookmarkEnd w:id="25"/>
    <w:p>
      <w:pPr>
        <w:ind w:right="520"/>
        <w:spacing w:after="0" w:line="287" w:lineRule="auto"/>
        <w:rPr>
          <w:sz w:val="20"/>
          <w:szCs w:val="20"/>
          <w:color w:val="auto"/>
        </w:rPr>
      </w:pPr>
      <w:r>
        <w:rPr>
          <w:rFonts w:ascii="Arial" w:cs="Arial" w:eastAsia="Arial" w:hAnsi="Arial"/>
          <w:sz w:val="18"/>
          <w:szCs w:val="18"/>
          <w:color w:val="auto"/>
        </w:rPr>
        <w:t>$0.3 million higher discretionary spending to support business growth. Personnel costs are discussed in further detail under “Operating Practice Groups”.</w:t>
      </w:r>
    </w:p>
    <w:p>
      <w:pPr>
        <w:spacing w:after="0" w:line="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Six months ended June 30, 2024 compared to June 30, 2023</w:t>
      </w:r>
      <w:r>
        <w:rPr>
          <w:rFonts w:ascii="Arial" w:cs="Arial" w:eastAsia="Arial" w:hAnsi="Arial"/>
          <w:sz w:val="18"/>
          <w:szCs w:val="18"/>
          <w:color w:val="auto"/>
        </w:rPr>
        <w:t>. Total operating expenses for the six months ended June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$57.9 million, or 8.4%, to $742.9 million as compared to $685.0 million in the same period of 2023. The deferred compensation plan increased operating expenses by $10.9 million for the six months ended June 30, 2024, and by $9.9 million during the same period in 2023. Excluding the impact of deferred compensation, which was recorded in "Corporate and Other" for segment reporting purposes, operating expenses would have been $732.0 million and $675.1 million, or 80.1% and 79.1% of revenue, for the six months ended June 30, 2024 and 2023, respectively, an increase of $56.9 million as compared to the same period in 2023. In addition, operating expense for the six months ended June 30, 2024 included approximately $0.3 million non-recurring integration costs related to the acquisitions completed in 2024, and operating expenses for the six months ended June 30, 2023 included $ 1.0 million non-recurring integration and retention costs associated with the Somerset acquisition. The increase in operating expense was driven by personnel costs increase of $41.2 million (of which $12.5 million was the result of acquisitions), $4.1 higher direct cost, $3.7 million higher technology costs, $2.7 million higher professional service costs, $2.3 million higher facility costs, $1.9 higher travel and entertainment costs, $0.9 million higher depreciation and amortization expense, and $0.1 million higher other discretionary spending to support business growth. Personnel costs are discussed in further detail under “Operating Practice Groups”.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General &amp; Administrative (“G&amp;A”) Expenses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center"/>
              <w:ind w:right="539"/>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12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40" w:type="dxa"/>
            <w:vAlign w:val="bottom"/>
          </w:tcPr>
          <w:p>
            <w:pPr>
              <w:jc w:val="center"/>
              <w:ind w:right="49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39"/>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gridSpan w:val="5"/>
          </w:tcPr>
          <w:p>
            <w:pPr>
              <w:jc w:val="center"/>
              <w:ind w:left="75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22,050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15,793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6,257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4.0 %</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21,727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15,162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6,565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w w:val="99"/>
              </w:rPr>
              <w:t>G&amp;A expenses excluding deferred compensation % of</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3.8 %</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8"/>
        </w:trPr>
        <w:tc>
          <w:tcPr>
            <w:tcW w:w="4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559"/>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12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40" w:type="dxa"/>
            <w:vAlign w:val="bottom"/>
          </w:tcPr>
          <w:p>
            <w:pPr>
              <w:jc w:val="center"/>
              <w:ind w:right="49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39"/>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gridSpan w:val="5"/>
          </w:tcPr>
          <w:p>
            <w:pPr>
              <w:jc w:val="center"/>
              <w:ind w:left="75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40,761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31,391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9,370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3.7 %</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39,381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30,118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9,263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w w:val="99"/>
              </w:rPr>
              <w:t>G&amp;A expenses excluding deferred compensation % of</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4.3 %</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3.5 %</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months ended June 30, 2024 compared to June 30, 2023. </w:t>
      </w:r>
      <w:r>
        <w:rPr>
          <w:rFonts w:ascii="Arial" w:cs="Arial" w:eastAsia="Arial" w:hAnsi="Arial"/>
          <w:sz w:val="18"/>
          <w:szCs w:val="18"/>
          <w:color w:val="auto"/>
        </w:rPr>
        <w:t>The deferred compensation plan increased G&amp;A expenses by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$0.3 million for the three months ended June 30, 2024, and increased G&amp;A expenses by $0.6 million during the same period in 2023. G&amp;A expenses, excluding the impact of the deferred compensation plan, would have been $21.7 million, or 5.2% of revenue, for the three months ended June 30, 2024, compared to $ 15.2 million, or 3.8% of revenue, for the same period in 2023, an increase of approximately $6.6 million. The increase was primarily driven by $5.6 million higher legal and other professional services costs largely associated with the announced Transaction, $0.4 millon higher travel and entertainment costs, $0.4 million higher technology costs, $0.2 million higher depreciation costs, and $0.7 million higher other discretionary spending to support the business growth. The increase in G&amp;A expenses was partially offset by $0.7 million lower personnel costs and $0.1 million lower facilitiy related costs. G&amp;A expense for the three months ended June 30, 2024 included approximately $0.1 million of non-recurring transaction and integration costs associated with the acquisitions completed in 2024, and G&amp;A expense for the three months ended June 30, 2023 included approximately $0.3 million of non-recurring transaction and integration costs associated with the Somerset acquisition.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6" w:name="page27"/>
    <w:bookmarkEnd w:id="26"/>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Six months ended June 30, 2024 compared to June 30, 2023. </w:t>
      </w:r>
      <w:r>
        <w:rPr>
          <w:rFonts w:ascii="Arial" w:cs="Arial" w:eastAsia="Arial" w:hAnsi="Arial"/>
          <w:sz w:val="18"/>
          <w:szCs w:val="18"/>
          <w:color w:val="auto"/>
        </w:rPr>
        <w:t>The deferred compensation plan increased G&amp;A expense by $1.4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2024, and increased G&amp;A expenses by $1.3 million during the same period in 2023. G&amp;A expenses, excluding the impact of the deferred compensation plan, would have been $ 39.4 million, or 4.3% of revenue, for the six months ended June 30, 2024, compared to $30.1 million, or 3.5% of revenue, for the same period in 2023. The increase in G&amp;A expenses was primarily driven by $7.8 million higher legal and other professional services costs largely associated with the announced Transaction, $0.4 millon higher travel and entertainment costs, $ 0.3 million higher technology costs, $ 0.3 million higher depreciation costs, and $1.0 million higher other discretionary spending to support the business growth. The increase in G&amp;A expenses for the six months ended June 30, 2024 was partially offset by $0.5 million lower personnel costs and $0.1 million lower facilitiy related costs. In addition, G&amp;A expense for the six months ended June 30, 2024 included a $0.6 million non-recurring transaction and integration costs related to the aquistions completed in 2024 . G&amp;A expense for the six months ended June 30, 2023 included a $1.5 million non-recurring transaction and integration costs related to the Somerset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 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537"/>
              <w:spacing w:after="0" w:line="14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60" w:type="dxa"/>
            <w:vAlign w:val="bottom"/>
          </w:tcPr>
          <w:p>
            <w:pPr>
              <w:jc w:val="right"/>
              <w:ind w:right="577"/>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rPr>
              <w:t>(5,884)</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7"/>
              </w:rPr>
              <w:t>2,483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4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295"/>
              <w:spacing w:after="0"/>
              <w:rPr>
                <w:sz w:val="20"/>
                <w:szCs w:val="20"/>
                <w:color w:val="auto"/>
              </w:rPr>
            </w:pPr>
            <w:r>
              <w:rPr>
                <w:rFonts w:ascii="Arial" w:cs="Arial" w:eastAsia="Arial" w:hAnsi="Arial"/>
                <w:sz w:val="18"/>
                <w:szCs w:val="18"/>
                <w:color w:val="auto"/>
              </w:rPr>
              <w:t>(3,401)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80" w:right="880" w:hanging="167"/>
        <w:spacing w:after="0" w:line="207" w:lineRule="auto"/>
        <w:tabs>
          <w:tab w:leader="none" w:pos="793"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Other income, net includes a net gain of $2.6 million during the three months ended June 30, 2024, and a net gain of $5.7 million for the same period in 2023,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June 30, 2024 and 2023, is expense of $0.2 million and $0.8 million, respectively, related to net changes in the fair value of contingent consideration related to prior acquisitions.</w:t>
      </w:r>
    </w:p>
    <w:p>
      <w:pPr>
        <w:spacing w:after="0" w:line="285"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536"/>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576"/>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9"/>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700" w:right="860" w:hanging="6"/>
        <w:spacing w:after="0" w:line="208" w:lineRule="auto"/>
        <w:tabs>
          <w:tab w:leader="none" w:pos="893"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Other income, net includes a net gain of $12.2 million during the six months ended June 30, 2024, and a net gain of $11.1 million for the same period in 2023,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six months ended June 30, 2024 and 2023, is expense of $0.6 million and $1.4 million, respectively, related to net changes in the fair value of contingent consideration related to prior acquisitions.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Three and six months ended June 30, 2024 compared with June 30, 2023. </w:t>
      </w:r>
      <w:r>
        <w:rPr>
          <w:rFonts w:ascii="Arial" w:cs="Arial" w:eastAsia="Arial" w:hAnsi="Arial"/>
          <w:sz w:val="18"/>
          <w:szCs w:val="18"/>
          <w:color w:val="auto"/>
        </w:rPr>
        <w:t>During the three months ended June 30, 2024, our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balance and weighted average effective interest rate was $410.1 million and 4.85%, respectively, compared to $403.1 million and 5.24% for the same period of 2023. The increase in interest expense for the three months ended June 30, 2024 as compared to the same period in 2023 was primarily driven by a higher average debt balance.</w:t>
      </w:r>
    </w:p>
    <w:p>
      <w:pPr>
        <w:spacing w:after="0" w:line="9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During the six months ended June 30, 2024, our average debt balance and interest rate was $367.9 million and 5.41% compared to $352.9 million and 4.94% for the same period of 2023. The increase in interest expense for the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8"/>
          <w:szCs w:val="18"/>
          <w:color w:val="auto"/>
        </w:rPr>
        <w:t>six months ended June 30, 2024 as compared to the same period in 2023 was primarily driven by a higher average debt balance as well as a higher weighted average effective interest rate.</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indebtedness is further discussed in Note 4, Debt and Financing Arrangements, to the accompanying unaudited condensed consolidated financial statements.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Three and six months ended June 30, 2024 compared with June 30, 2023. </w:t>
      </w:r>
      <w:r>
        <w:rPr>
          <w:rFonts w:ascii="Arial" w:cs="Arial" w:eastAsia="Arial" w:hAnsi="Arial"/>
          <w:sz w:val="18"/>
          <w:szCs w:val="18"/>
          <w:color w:val="auto"/>
        </w:rPr>
        <w:t>For the three months ended June 30, 2024, other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 net gain of $2.6 million associated with the deferred compensation plan. For the same period in 2023, other income, net includes a net gain of $5.7 million associated with the deferred compensation plan. Excluding the impact of the deferred compensation plan, the decrease in other income, net for the three months ended June 30, 2024 was not material as compared to the same period in 2023.</w:t>
      </w:r>
    </w:p>
    <w:p>
      <w:pPr>
        <w:spacing w:after="0" w:line="6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For the six months ended June 30, 2024, other income, net includes a net gain of $12.2 million associated with the deferred compensation plan. For the same period in 2023, other income, net includes a net gain of $11.1 million associated with the deferred compensation plan. Excluding the impact of the deferred compensation plan, other income, net decreased by $0.3 million in 2024 as compared to 2023.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center"/>
              <w:ind w:right="542"/>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2"/>
                <w:szCs w:val="12"/>
                <w:color w:val="auto"/>
              </w:rPr>
            </w:pPr>
          </w:p>
        </w:tc>
        <w:tc>
          <w:tcPr>
            <w:tcW w:w="12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82"/>
              <w:spacing w:after="0" w:line="14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8,400</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11,746</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(3,346)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460" w:type="dxa"/>
            <w:vAlign w:val="bottom"/>
            <w:gridSpan w:val="2"/>
          </w:tcPr>
          <w:p>
            <w:pPr>
              <w:jc w:val="right"/>
              <w:ind w:right="299"/>
              <w:spacing w:after="0"/>
              <w:rPr>
                <w:sz w:val="20"/>
                <w:szCs w:val="20"/>
                <w:color w:val="auto"/>
              </w:rPr>
            </w:pPr>
            <w:r>
              <w:rPr>
                <w:rFonts w:ascii="Arial" w:cs="Arial" w:eastAsia="Arial" w:hAnsi="Arial"/>
                <w:sz w:val="18"/>
                <w:szCs w:val="18"/>
                <w:color w:val="auto"/>
              </w:rPr>
              <w:t>29.8 %</w:t>
            </w:r>
          </w:p>
        </w:tc>
        <w:tc>
          <w:tcPr>
            <w:tcW w:w="1240" w:type="dxa"/>
            <w:vAlign w:val="bottom"/>
          </w:tcPr>
          <w:p>
            <w:pPr>
              <w:jc w:val="right"/>
              <w:spacing w:after="0"/>
              <w:rPr>
                <w:sz w:val="20"/>
                <w:szCs w:val="20"/>
                <w:color w:val="auto"/>
              </w:rPr>
            </w:pPr>
            <w:r>
              <w:rPr>
                <w:rFonts w:ascii="Arial" w:cs="Arial" w:eastAsia="Arial" w:hAnsi="Arial"/>
                <w:sz w:val="18"/>
                <w:szCs w:val="18"/>
                <w:color w:val="auto"/>
              </w:rPr>
              <w:t>30.4 %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522"/>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2"/>
                <w:szCs w:val="12"/>
                <w:color w:val="auto"/>
              </w:rPr>
            </w:pPr>
          </w:p>
        </w:tc>
        <w:tc>
          <w:tcPr>
            <w:tcW w:w="12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Pr>
          <w:p>
            <w:pPr>
              <w:jc w:val="center"/>
              <w:ind w:right="482"/>
              <w:spacing w:after="0" w:line="14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35,530</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38,153</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(2,623)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460" w:type="dxa"/>
            <w:vAlign w:val="bottom"/>
            <w:gridSpan w:val="2"/>
          </w:tcPr>
          <w:p>
            <w:pPr>
              <w:jc w:val="right"/>
              <w:ind w:right="299"/>
              <w:spacing w:after="0"/>
              <w:rPr>
                <w:sz w:val="20"/>
                <w:szCs w:val="20"/>
                <w:color w:val="auto"/>
              </w:rPr>
            </w:pPr>
            <w:r>
              <w:rPr>
                <w:rFonts w:ascii="Arial" w:cs="Arial" w:eastAsia="Arial" w:hAnsi="Arial"/>
                <w:sz w:val="18"/>
                <w:szCs w:val="18"/>
                <w:color w:val="auto"/>
              </w:rPr>
              <w:t>26.9 %</w:t>
            </w:r>
          </w:p>
        </w:tc>
        <w:tc>
          <w:tcPr>
            <w:tcW w:w="1240" w:type="dxa"/>
            <w:vAlign w:val="bottom"/>
          </w:tcPr>
          <w:p>
            <w:pPr>
              <w:jc w:val="right"/>
              <w:spacing w:after="0"/>
              <w:rPr>
                <w:sz w:val="20"/>
                <w:szCs w:val="20"/>
                <w:color w:val="auto"/>
              </w:rPr>
            </w:pPr>
            <w:r>
              <w:rPr>
                <w:rFonts w:ascii="Arial" w:cs="Arial" w:eastAsia="Arial" w:hAnsi="Arial"/>
                <w:sz w:val="18"/>
                <w:szCs w:val="18"/>
                <w:color w:val="auto"/>
              </w:rPr>
              <w:t>27.6 %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 xml:space="preserve">Three and six months ended June 30, 2024 compared with June 30, 2023. </w:t>
      </w:r>
      <w:r>
        <w:rPr>
          <w:rFonts w:ascii="Arial" w:cs="Arial" w:eastAsia="Arial" w:hAnsi="Arial"/>
          <w:sz w:val="18"/>
          <w:szCs w:val="18"/>
          <w:color w:val="auto"/>
        </w:rPr>
        <w:t>The effective tax rate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was 29.8%, compared to an effective tax rate of 30.4% for the comparable period in 2023. The decrease in the effective tax rate for the three month period ending June 30, 2024 was primarily due to the tax effect of lower non-deductible expenses and lower state tax expenses relative to pre-tax income during the second quarter of 2024 as compared to the same period in 2023.</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six months ended June 30, 2024 was 26.9%, compared to an effective tax rate of 27.6% for the same period in</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2023. The decrease in the effective tax rate for the six month period ending June 30, 2024 was primarily due to the tax effect of lower non-deductible expenses and lower state tax expenses relative to pre-tax income during the six months ended June 30, 2024 as compared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2023.</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Practice Groups</w:t>
      </w:r>
    </w:p>
    <w:p>
      <w:pPr>
        <w:spacing w:after="0" w:line="11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Same-unit revenue represents total revenue adjusted to reflect comparable periods of activity for acquisitions and divestitures. Divested operations represent operations that did not meet the criteria for treatment as discontinued operations.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299,691</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290,930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8,761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9,542</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309,233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290,930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18,303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262,809</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243,445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46,424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47,485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46,552</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47,720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660,257</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634,016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26,241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21,606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681,863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634,016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47,847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528,370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487,888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153,493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146,128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7,365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153,707</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146,717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2024 compared to June 30,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Services practice group revenue for the three months ended June 30, 2024 grew by 6.3% to $309.2 million from $290.9 million during the same period in 2023. Same-unit revenue grew by $8.8 million, or 3.0%, primarily driven by those units that provide government healthcare compliance business consulting, which increased by $ 8.3 million, and those units that provide project based advisory services, which increased by approximately $2.2 million. The increase was offset by a decrease in revenue of approximately $1.7 million from those units that provide traditional accounting and tax-related services for the three months ended June 30, 2024.The impact of acquired businesses contributed $9.5 million, or 3.1%, of 2024 revenue.</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$68.9 million and $65.9 million for the three months ended June 30, 2024 and 2023,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Operating expenses increased by $19.4 million, or 8.0%, as compared to the same period last year. Personnel costs increased by $12.9 million, of which acquisitions contributed approximately $ 4.6 million to the increase. Compared to the same period in 2023, direct costs, technology costs, professional services costs, travel and entertainment costs, corporate allocated costs, facility costs, depreciation and amortization costs, and employee gifts and activities increased by approximately $2.6 million, $1.4 million, $0.8 million, $0.6 million, $0.4 million, $0.4 million, $0.2 million, and $0.1 million, respectively. Other discretionary costs, net increased by approximately $1.5 million. Operating expenses as a percentage of revenue increased slightly to 85.0% for the three months ended June 30, 2024 from 83.7% of revenue for the prior year quarter.</w:t>
      </w:r>
    </w:p>
    <w:p>
      <w:pPr>
        <w:sectPr>
          <w:pgSz w:w="11900" w:h="16838" w:orient="portrait"/>
          <w:cols w:equalWidth="0" w:num="1">
            <w:col w:w="11200"/>
          </w:cols>
          <w:pgMar w:left="320" w:top="1216" w:right="37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Six months ended June 30, 2024 compared to June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 for the six months ended June 30, 2024 grew by 7.5% to $681.9 million from $634.0 million during the same period in 2023. Same-unit revenue grew by $ 26.2 million, or 4.1%, across almost all service lines, primarily driven by those units that provide government healthcare compliance business consulting, which increased by $13.0 million, the units that provide traditional accounting and tax-related services, which increased $9.0 million, and by those units that provide project-oriented advisory services, which increased by approximately $4.2 million.The impact of acquired businesses contributed a total of $21.6 million, or 3%, of Financial Services practice group's revenue for the six months ended June 30, 2024.</w:t>
      </w:r>
    </w:p>
    <w:p>
      <w:pPr>
        <w:spacing w:after="0" w:line="4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Fees earned under the ASAs, as described above, were approximately $156.8 million and $150.7 million for the six months ended June 30, 2024 and 2023,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by $40.5 million, or 8.3%, as compared to the same period last year. Personnel costs increased by</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$27.0 million, of which acquisitions contributed approximately $11.6 million to the increase. Compared to the same period in 2023, direct costs, technology costs, facility costs, professional services costs, travel and entertainment costs, corporate allocated costs, depreciation and amortization costs, bad debt, and marketing costs increased by approximately $4.2 million, $ 2.2 million, $2.1 million, $1.9 million, $1.2 million, $1 million, $0.8 million, $0.3 million, and $0.3 million respectively. Other discretionary costs, net increased by approximately $1.5 million. Operating expense as a percentage of revenue increased to 77.5% during the six months ended June 30, 2024 from 77.0% of revenue during the same period in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Insurance Services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96,475</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95,838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97,419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95,838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83,243</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78,374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14,176</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14,219</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17,617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204,121</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195,892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8,229</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205,827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195,892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9,935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166,880</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155,297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margin/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38,947</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40,595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39,034</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40,924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June 30, 2024 compared to June 30,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Benefits and Insurance Services practice group revenue increased by $1.6 million, or 1.6%, to $97.4 million during the three months ended June 30, 2024 compared to $95.8 million for the same period in 2023. Same-unit revenue grew by $0.6 million, or 0.7%, primarily driven by a $3.2 million increase in the employee benefit and retirement benefit services lines, and a $0.5 million increase in the payroll-related services, partially offset by a $2.2 million decrease in property and casualty services. During the three months ended June 30, 2024, property and casualty service line experienced the departure of a small group of producers and support staff and a loss of clients served by this group, which contributed to the $2.2 million decrease in revenue generated by the property and casualty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expenses increased by $4.9 million, or 6.2%, when compared to the same period last year. Personnel costs increased by $3.9 million, of which acquisitions contributed approximately $0.5 million, primarily due to the impact of annual merit increases as well as investment in producers. Compared to the same period in 2023, technology costs and bad debt costs increased by approximately $0.4 million and $0.3 million, respectively, and was partially offset by $0.1 million lower travel and entertainment costs as compared to the same period in 2023. Operating expenses as a percentage of revenue increased to 85.4% for the quarter ended June 30, 2024 from 81.8% of revenue for the same period in 2023, primarily due to decrease in revenue generated from the property and casualty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2024 compared to June 30,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Benefits and Insurance Services practice group revenue increased by $9.9 million, or 5.1%, to $205.8 million, during the six months ended June 30, 2024 compared to $ 195.9 million for the same period in 2023. Same-unit revenue grew by $8.2 million, or 4.2%, across almost all of the major service lines, primarily driven by a $7.7 million increase in employee benefit and retirement benefit services lines, a $1.2 million increase in payroll related services, and a $0.5 million increase in the property and casualty services, partially offset by an approximately $1.0 million decrease in other project based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by $11.6 million, or 7.5%, when compared to the same period last year. Personnel cost increased by</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$9.9 million primarily due to timing of annual merit increases, bonus accrual, as well as investment in producers. Compared to the same period in 2023, technology costs, direct costs, bad debt costs, as well as facility costs increased by approximately $0.6 million, $0.3 million, $0.2 million, and $0.2 million, respectively. Operating expense as a percentage of revenue slightly increased to 81.1% during the six months ended June 30, 2024 from 79.3% of revenue for the same period in 2023.</w:t>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7"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National Practices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75"/>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Same-unit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13,360</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11,734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12,028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75"/>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Same-unit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26,619</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23,200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23,961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21,128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4800"/>
        <w:spacing w:after="0" w:line="358" w:lineRule="auto"/>
        <w:rPr>
          <w:sz w:val="20"/>
          <w:szCs w:val="20"/>
          <w:color w:val="auto"/>
        </w:rPr>
      </w:pPr>
      <w:r>
        <w:rPr>
          <w:rFonts w:ascii="Arial" w:cs="Arial" w:eastAsia="Arial" w:hAnsi="Arial"/>
          <w:sz w:val="18"/>
          <w:szCs w:val="18"/>
          <w:b w:val="1"/>
          <w:bCs w:val="1"/>
          <w:i w:val="1"/>
          <w:iCs w:val="1"/>
          <w:color w:val="auto"/>
        </w:rPr>
        <w:t>Three and six months ended June 30, 2024 compared with June 30, 2023 Revenue and Operating Expenses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National Practices group is primarily driven by a cost-plus contract with a single client, which has existed since 1999. The cost-plus contract is a five-year contract with the most recent renewal through December 31, 2028. Revenues from this single client accounted for approximately 75% of the National Practice group’s revenue. During the three and six months ended June 30, 2024, revenue increased by $1.6 million, or 13.9%, and $3.4 million, or 14.7%, respectively, while operating expenses increased by $1.5 million, or 14.1%, and $2.8 million, or 13.4%, respectively.</w:t>
      </w: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6" w:right="5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35"/>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20" w:type="dxa"/>
            <w:vAlign w:val="bottom"/>
            <w:gridSpan w:val="8"/>
          </w:tcPr>
          <w:p>
            <w:pPr>
              <w:jc w:val="center"/>
              <w:ind w:left="71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610.8 %</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35"/>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2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20" w:type="dxa"/>
            <w:vAlign w:val="bottom"/>
            <w:gridSpan w:val="8"/>
          </w:tcPr>
          <w:p>
            <w:pPr>
              <w:jc w:val="center"/>
              <w:ind w:left="71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2024 compared to June 30, 2023</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operating expenses decreased by $3.3 million during the three months ended June 30, 2024, as compared to the same period in 2023. The deferred compensation plan increased operating expenses by $2.3 million for the three months ended June 30, 2024 and by $5.1 million during the same period in 2023. Excluding the deferred compensation expenses, operating expenses decreased by $0.5 million during the three months ended June 30, 2024, as compared to the same period in 2023. The decrease was primarily driven by lower marketing as well as facility related costs.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corporate general and administrative expenses increased by $6.3 million, or 39.6%, during the three months ended June 30, 2024, as compared to the same period in 2023. The deferred compensation plan increased corporate general and administrative expenses by $0.3 million for the three months ended June 30, 2024 and by $0.6 million during the same period in 2023. Excluding the deferred compensation expenses, corporate general and administrative expense increased by approximately $6.6 million. The increase was primarily driven by $5.6 million higher legal and other professional services costs largely associated with the announced Transaction, $0.4 millon higher travel and entertainment costs, $0.4 million higher technology costs, $0.2 million higher depreciation costs, and $0.7 million higher other discretionary spending to support the business growth. The increase in G&amp;A expenses was partially offset by $0.7 million lower personnel costs and $0.1 million lower facility related costs. G&amp;A expense for the three months ended June 30, 2024 included approximately $0.1 million non-recurring transaction and integration costs associated with the acquisitions completed in 2024, and G&amp;A expense for the three months ended June 30, 2023 included approximately $0.3 million non-recurring transaction and integration costs associated with the Somerset acquisition.</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other expense, net increased by $3.1 million during the three months ended June 30, 2024, as compared to the same period in 2023. For the three months ended June 30, 2024, total other expense, net includes a net gain of $2.6 million associated with the deferred compensation plan. For the same period in 2023, total other expense, net includes a net gain of $ 5.7 million associated with the deferred compensation plan. Excluding the impact of the deferred compensation plan, total other expense, net would have been $6.2 million in 2024 and $6.2 million in 2023, relatively unchanged.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Six months ended June 30, 2024 compared to June 30, 2023</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operating expenses increased by $3.0 million, or 14.3%, during the six months ended June 30, 2024, as compared to the same period in 2023. The deferred compensation plan increased operating expenses by $10.9 million for the six months ended June 30, 2024, and by $9.9 million during the same period in 2023. Excluding the deferred compensation expenses, operating expense increase by approximately $2.0 million during the six months ended June 30, 2024, primarily driven by higher personnel related costs, as compared to the same period in 2023.</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G&amp;A expenses increased by $9.4 million, or 29.8%, during the six months ended June 30, 2024, as compared to the same period in 2023. The deferred compensation plan increased G&amp;A expenses by $ 1.4 million for the six months ended June 30, 2024, and by $1.3 million during the same period in 2023. Excluding the deferred compensation expenses, G&amp;A expense increased by approximately $9.3 million during the six months ended June 30, 2024, compared to the same period in 2023. The increase in G&amp;A expenses was primarily driven by $7.8 million higher legal and other professional services costs largely associated with the announced Transaction, $0.4 million higher travel and entertainment costs, $0.3 million higher technology costs, $0.3 million higher depreciation costs, and $1.0 million higher other discretionary spending to support the business growth. The increase in G&amp;A expenses was partially offset by $0.5 million lower personnel costs and $0.1 million lower facility related costs. In addition, G&amp;A expense for the six months ended June 30, 2024 included a $0.6 million non-recurring transaction and integration costs related to the acquisitions completed in 2024. G&amp;A expense for the six months ended June 30, 2023 included a $1.5 million non-recurring transaction and integration costs related to the Somerset acquisition.</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other income, net increased by $0.7 million during the six months ended June 30, 2024, as compared to the same period in 2023. Total other income, net for the six months ended June 30, 2024 includes a net gain of $12.2 million associated with the deferred compensation plan. For the same period in 2023, total other income, net includes a net gain of $ 11.1 million associated with the deferred compensation plan. Excluding the impact of the deferred compensation plan, total other income, net decreased by $ 0.4 million, primarily due to $ 1.2 million higher interest expense due to higher average outstanding balance and interest rates during 2024 as compared to 2023, offset by $0.8 million lower net changes in the fair value of contingent consideration related to prior acquisitions.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balances increase in response to the first six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95 days and 94 days at June 30, 2024 and 2023, respectively. DSO at December 31, 2023 was 78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4" w:name="page35"/>
    <w:bookmarkEnd w:id="34"/>
    <w:p>
      <w:pPr>
        <w:ind w:right="520"/>
        <w:spacing w:after="0" w:line="287" w:lineRule="auto"/>
        <w:rPr>
          <w:sz w:val="20"/>
          <w:szCs w:val="20"/>
          <w:color w:val="auto"/>
        </w:rPr>
      </w:pPr>
      <w:r>
        <w:rPr>
          <w:rFonts w:ascii="Arial" w:cs="Arial" w:eastAsia="Arial" w:hAnsi="Arial"/>
          <w:sz w:val="18"/>
          <w:szCs w:val="18"/>
          <w:color w:val="auto"/>
        </w:rPr>
        <w:t>The following table presents selected cash flow information. For additional details, refer to the accompanying Condensed Consolidated Statements of Cash Flows.</w:t>
      </w:r>
    </w:p>
    <w:p>
      <w:pPr>
        <w:spacing w:after="0" w:line="8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31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r>
      <w:tr>
        <w:trPr>
          <w:trHeight w:val="196"/>
        </w:trPr>
        <w:tc>
          <w:tcPr>
            <w:tcW w:w="6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4"/>
          </w:tcPr>
          <w:p>
            <w:pPr>
              <w:jc w:val="center"/>
              <w:ind w:right="314"/>
              <w:spacing w:after="0"/>
              <w:rPr>
                <w:sz w:val="20"/>
                <w:szCs w:val="20"/>
                <w:color w:val="auto"/>
              </w:rPr>
            </w:pPr>
            <w:r>
              <w:rPr>
                <w:rFonts w:ascii="Arial" w:cs="Arial" w:eastAsia="Arial" w:hAnsi="Arial"/>
                <w:sz w:val="14"/>
                <w:szCs w:val="14"/>
                <w:b w:val="1"/>
                <w:bCs w:val="1"/>
                <w:color w:val="auto"/>
              </w:rPr>
              <w:t>(Amounts in thousands)</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24,439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rPr>
              <w:t>29,729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center"/>
              <w:ind w:left="454"/>
              <w:spacing w:after="0"/>
              <w:rPr>
                <w:sz w:val="20"/>
                <w:szCs w:val="20"/>
                <w:color w:val="auto"/>
              </w:rPr>
            </w:pPr>
            <w:r>
              <w:rPr>
                <w:rFonts w:ascii="Arial" w:cs="Arial" w:eastAsia="Arial" w:hAnsi="Arial"/>
                <w:sz w:val="18"/>
                <w:szCs w:val="18"/>
                <w:color w:val="auto"/>
                <w:w w:val="98"/>
              </w:rPr>
              <w:t>(65,617)</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rPr>
              <w:t>21,793</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454"/>
              <w:spacing w:after="0"/>
              <w:rPr>
                <w:sz w:val="20"/>
                <w:szCs w:val="20"/>
                <w:color w:val="auto"/>
              </w:rPr>
            </w:pPr>
            <w:r>
              <w:rPr>
                <w:rFonts w:ascii="Arial" w:cs="Arial" w:eastAsia="Arial" w:hAnsi="Arial"/>
                <w:sz w:val="18"/>
                <w:szCs w:val="18"/>
                <w:color w:val="auto"/>
                <w:w w:val="98"/>
              </w:rPr>
              <w:t>(14,095)</w:t>
            </w:r>
          </w:p>
        </w:tc>
      </w:tr>
      <w:tr>
        <w:trPr>
          <w:trHeight w:val="21"/>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 </w:t>
      </w:r>
      <w:r>
        <w:rPr>
          <w:rFonts w:ascii="Arial" w:cs="Arial" w:eastAsia="Arial" w:hAnsi="Arial"/>
          <w:sz w:val="18"/>
          <w:szCs w:val="18"/>
          <w:color w:val="auto"/>
        </w:rPr>
        <w:t>Cash provided by operating activities was $ 24.4 million during the six months ended June 30, 2024,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working capital use of $101.5 million, which was offset by net income of $96.7 million and certain non-cash items, such as depreciation and amortization expense of $19.0 million, deferred income tax of $3.1 million, and stock-based compensation expense of $5.0 million. Cash provided by operating activities was $29.7 million during the six months ended June 30, 2023 and primarily consisted of net income of $100.0 million and certain non-cash items, such as depreciation and amortization expense of $17.8 million, deferred income tax of $4.6 million, and stock-based compensation expense of $6.6 million. The cash inflow was offset by working capital use of $101.6 million during the six months ended June 30, 2023.</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Investing Activities - </w:t>
      </w:r>
      <w:r>
        <w:rPr>
          <w:rFonts w:ascii="Arial" w:cs="Arial" w:eastAsia="Arial" w:hAnsi="Arial"/>
          <w:sz w:val="18"/>
          <w:szCs w:val="18"/>
          <w:color w:val="auto"/>
        </w:rPr>
        <w:t>Cash used in investing activities during the six months ended June 30, 2024 was $33.2 million and consisted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$22.5 million used for business acquisitions, $7.0 million in capital expenditures, and $3.8 million in other investing activities primarily related to acquistion related working capital adjustment payments and notes receivable. The net cash flow related to funds held for clients and other activities were immaterial. Cash used in investing activities during the three months ended June 30, 2023 was $65.6 million and consisted primarily of $48.6 million used for business acquisitions, $11.7 million in capital expenditures, and $9.0 million in other investing activities primarily related to working capital payments and notes receivable. During the six months ended June 30, 2023, the use of cash was offset by $3.7 million net cash inflow related to funds held for clients and other activities.</w:t>
      </w:r>
    </w:p>
    <w:p>
      <w:pPr>
        <w:spacing w:after="0" w:line="7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2023.</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Financing Activities - </w:t>
      </w:r>
      <w:r>
        <w:rPr>
          <w:rFonts w:ascii="Arial" w:cs="Arial" w:eastAsia="Arial" w:hAnsi="Arial"/>
          <w:sz w:val="17"/>
          <w:szCs w:val="17"/>
          <w:color w:val="auto"/>
        </w:rPr>
        <w:t>Cash used in financing activities during the six months ended June 30, 2024 was $11.9 million and primarily consisted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 $68.6 million in net proceeds from the credit facility, partially offset by $11.2 million cash used in share repurchases for tax withholding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purposes, a $28.3 million net decrease in client fund obligations and $41.0 million in contingent consideration payments related to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Cash provided by financing activities during the six months ended June 30, 2023 was $21.8 million and primarily consisted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$144.9 million in net proceeds from the credit facility and $4.3 million proceeds from exercise of stock options, partially offset by $57.0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share repurchases, a $40.4 million net decrease in client fund obligations and $30.0 million in contingent consideration payments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prior acquisitions.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Credit Facility - </w:t>
      </w:r>
      <w:r>
        <w:rPr>
          <w:rFonts w:ascii="Arial" w:cs="Arial" w:eastAsia="Arial" w:hAnsi="Arial"/>
          <w:sz w:val="18"/>
          <w:szCs w:val="18"/>
          <w:color w:val="auto"/>
        </w:rPr>
        <w:t>At June 30, 2024, we had $381.0 million outstanding under the 2022 credit facility as well as $3.2 million outstanding letters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credit. Available funds under the 2022 credit facility, based on the terms of the commitment, were approximately $209.8 million at June 30, 2024. The weighted average interest rate under the 2022 credit facility was 5.41% during the six months ended June 30, 2024, compared to 4.94% for the same period in 2023. The 2022 credit facility allows for the allocation of funds for future strategic initiatives, including acquisitions and the repurchase of our common stock, subject to the terms and conditions of the 2022 credit facility.</w:t>
      </w:r>
    </w:p>
    <w:p>
      <w:pPr>
        <w:spacing w:after="0" w:line="28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 xml:space="preserve">Debt Covenant Compliance - </w:t>
      </w:r>
      <w:r>
        <w:rPr>
          <w:rFonts w:ascii="Arial" w:cs="Arial" w:eastAsia="Arial" w:hAnsi="Arial"/>
          <w:sz w:val="18"/>
          <w:szCs w:val="18"/>
          <w:color w:val="auto"/>
        </w:rPr>
        <w:t>Under the 2022 credit facility, we are required to meet certain financial covenants with respect to (i)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(ii) minimum interest charge coverage ratio. We are in compliance with our financial covenants as of June 30, 2024. Our ability to service our debt and to fund future strategic initiatives will depend upon our ability to generate cash in the future. For further discussion regarding our 2022 credit facility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debt, refer to Note 4, Debt and Financing Arrangements, to the accompanying unaudited condensed consolidated financial statements.</w:t>
      </w:r>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Use of Capital - </w:t>
      </w:r>
      <w:r>
        <w:rPr>
          <w:rFonts w:ascii="Arial" w:cs="Arial" w:eastAsia="Arial" w:hAnsi="Arial"/>
          <w:sz w:val="18"/>
          <w:szCs w:val="18"/>
          <w:color w:val="auto"/>
        </w:rPr>
        <w:t>Our first priority for use of capital is to make strategic acquisitions. We also have the financing flexibility and the capacity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actively repurchase shares of our common stock. We believe that repurchasing shares of our common stock can be a prudent use of our financial resources, and that investing in our stock is an attractive use of capital and an efficient means to provide value to our stockholders. During the six months ended June 30, 2024, we completed three acquisitions for $22.5 million in cash. We also repurchased 0.2 million shares of our common stock at a total cost of approximately $11.2 million during the six months ended June 30, 2024.</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Cash Requirements - </w:t>
      </w:r>
      <w:r>
        <w:rPr>
          <w:rFonts w:ascii="Arial" w:cs="Arial" w:eastAsia="Arial" w:hAnsi="Arial"/>
          <w:sz w:val="18"/>
          <w:szCs w:val="18"/>
          <w:color w:val="auto"/>
        </w:rPr>
        <w:t>Cash requirements for the remainder of 2024 and beyond will include acquisitions, interest payments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 working capital requirements, contingent purchase price payments for previous acquisitions, share repurchases, income tax payments, and capital expenditures. We believe that cash provided by operations, as well as available funds under our 2022 credit facility will be sufficient to meet cash requirements for the remainder of 2024 and beyond.</w:t>
      </w:r>
    </w:p>
    <w:p>
      <w:pPr>
        <w:spacing w:after="0" w:line="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 Company has obtained committed financing to, among other things, fund the cash portion of the purchase price of the announced acquisition of Marcum pursuant to a commitment letter (the “Commitment Letter”) entered into on July 30, 2024, with Bank of America, N.A. and BofA Securities, Inc., which provides commitments for senior secured credit facilities (the “Senior Credit Facilities”) in an aggregate principal amount of $2.0 billion, consisting of (x) a $600 million five year senior secured revolving credit facility and (y) a $1.4 billion five year senior secured term loan facility. The funding of the Senior Credit Facilities is contingent on the satisfaction of customary conditions, including (i) execution and delivery of definitive documentation with respect to the Senior Credit Facilities in accordance with the terms set forth in the Commitment Letter and (ii) consummation of the acquisition of Marcum. Refer to Note 12. Subsequent Events, to the accompanying unaudited condensed consolidated financial statements for further discussion of the announced acquisition.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2023),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spacing w:after="0" w:line="17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provide letters of credit to landlords (lessors) of our leased premises in lieu of cash security deposits, which totaled $3.2 million and $3.5 million at June 30, 2024 and December 31, 2023, respectively. In addition, we provide license bonds to various state agencies to meet certain licensing requirements. The amount of license bonds outstanding was $2.3 million and $2.3 million at June 30, 2024 and December 31, 2023, respectively.</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June 30, 2024, we are not aware of any material obligations arising under indemnification agreements that would require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discussion and analysis of our results of operations, financial condition and liquidity are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 to Note 2, New Accounting Pronouncements, to the accompanying unaudited condensed consolidated financial statements for a discussion of recently issued accounting pronouncements.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"intends", "believes", "estimates", "expects", "projects", "anticipates", "foreseeable future", "seeks",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 differ materially from those projected. Such risks and uncertainties include, but are not limited to: we may be more sensitive to revenue fluctuations than other companies, which could result in fluctuations in the market price of our common stock; payments on accounts receivable may be slower than expected, or amounts due on receivables or notes may not be fully collectible; we are dependent on the services of our executive officers, other key employees, producers and service personnel, the loss of whom may have a material adverse effect on our business, financial condition and results of operations; restrictions imposed by independence requirements and conflict of interest rules may limit our ability to provide services to clients of the attest firms with which we have contractual relationships and the ability of such attest firms to provide attestation services to our clients; our goodwill and intangible assets could become impaired, which could lead to material non-cash charges against earnings; certain liabilities resulting from acquisitions are estimated and could lead to a material non-cash impact on earnings; governmental regulations and interpretations are subject to changes, which could have a material adverse effect on our clients, our business, our business services operations, our business models, or our revenue; changes in the United States healthcare or public health environment, including new healthcare legislation or regulations, may adversely affect the revenue and margins in our or our clients’ businesses; we are subject to risks relating to processing customer transactions for our payroll and other transaction processing businesses; cyber-attacks or other security breaches involving our computer systems or the systems of one or more of our vendors or clients could materially and adversely affect our business; we are subject to risk as it relates to software that we license from third parties; we could be held liable for errors and omissions, contract claims, or other litigation judgments or expenses; the future issuance of additional shares could adversely affect the price of our common stock; our principal stockholders may have substantial control over our operations; we require a significant amount of cash for interest payments on our debt and to expand our business as planned; terms of our credit facility may adversely affect our ability to run our business and/or reduce stockholder returns; our failure to satisfy covenants in our debt instruments could cause a default under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7" w:name="page38"/>
    <w:bookmarkEnd w:id="37"/>
    <w:p>
      <w:pPr>
        <w:jc w:val="both"/>
        <w:ind w:right="240"/>
        <w:spacing w:after="0" w:line="262" w:lineRule="auto"/>
        <w:rPr>
          <w:sz w:val="20"/>
          <w:szCs w:val="20"/>
          <w:color w:val="auto"/>
        </w:rPr>
      </w:pPr>
      <w:r>
        <w:rPr>
          <w:rFonts w:ascii="Arial" w:cs="Arial" w:eastAsia="Arial" w:hAnsi="Arial"/>
          <w:sz w:val="18"/>
          <w:szCs w:val="18"/>
          <w:color w:val="auto"/>
        </w:rPr>
        <w:t>those instruments; we are reliant on information processing systems and any failure of these systems could have a material adverse effect on our business, financial condition and results of operations; we may not be able to acquire and finance additional businesses which may limit our ability to pursue our business strategy; the business services industry is competitive and fragmented; if we are unable to compete effectively, our business, financial condition and results of operations may be negatively impacted; there is volatility in our stock price.</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the pending Transaction as described in Note 12. Subsequent Events, to the accompanying unaudited condensed consolidated financial statements, such risks and uncertainties include, but are not limited to: the ability of the parties to consummate the Transaction in a timely manner or at all; satisfaction of the conditions precedent to consummation of the Transaction, including the ability to secure regulatory approvals in a timely manner or at all, and the approval by Marcum's partners and the approval by the Company’s stockholders; the possibility of litigation related to the Transaction and the effects thereof; the possibility that anticipated benefits and/or synergies of the Transaction will not be achieved in a timely manner or at all; the possibility that the costs of the Transaction and/or liabilities assumed will be more significant than anticipated; the possibility that integration will prove more costly and/or time consuming than anticipated; the possibility that the Transaction could disrupt ongoing plans and operations of the parties or their respective relationships with clients, other business partners and employees; the possibility that the financing will not be obtained as anticipated and the effects of the increased leverage of the Company following the Transaction; and other risks described in under Item 1A. Risk Factors of this Quarterly Report on Form 10-Q.</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or projected.</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Consequently, no forward-looking statement can be guaranteed. A more detailed description of risk factors may be found in “Item 1A, Risk Factors” of this Quarterly Report on Form 10-Q and in “Item 1A. Risk Factors” of our Annual Report on Form 10-K for the year ended December 31, 2023. Except as required by the federal securities laws, we undertake no obligation to publicly update forward-looking statements, whether as a result of new information, future events or otherwise, except as required by law. You are advised, however, to consult any further disclosures we make on related subjects in our filings with the SEC, such as quarterly, periodic and annual reports.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floating rate debt under the 2022 credit facility exposes us to interest rate risk. Interest rate risk results when the maturity or repricing intervals of interest-earning assets and interest-bearing liabilities are different. A change in the Federal Funds Rate, or the reference rate set by Bank of America, N.A., would affect the rate at which we could borrow funds under the 2022 credit facility. The balance outstanding under our 2022 credit facility at June 30, 2024 was $381.0 million, of which $231.0 million is subject to rate risk. If market rates were to increase or decrease 100 basis points from the levels at June 30, 2024, interest expense would increase or decrease approximately $2.3 million annually.</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2022 credit facility to a fixed rate basis. These agreements involve the receipt or payment of floating rate amounts in exchange for fixed rate interest payments over the life of the agreements without an exchange of the underlying principal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we have the following interest rate swaps outstanding (in thousands):</w:t>
      </w:r>
    </w:p>
    <w:p>
      <w:pPr>
        <w:spacing w:after="0" w:line="275" w:lineRule="exact"/>
        <w:rPr>
          <w:sz w:val="20"/>
          <w:szCs w:val="20"/>
          <w:color w:val="auto"/>
        </w:rPr>
      </w:pPr>
    </w:p>
    <w:tbl>
      <w:tblPr>
        <w:tblLayout w:type="fixed"/>
        <w:tblInd w:w="72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June 30, 2024</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Notional</w:t>
            </w: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Fixed Rate</w:t>
            </w:r>
          </w:p>
        </w:tc>
        <w:tc>
          <w:tcPr>
            <w:tcW w:w="17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12/14/2026</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4/14/2028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6, Financial Instruments, and Note 7, Fair Value Measurements, to the accompanying unaudited condensed consolidated financial statements for further discussion regarding these investments and the related fair value assessments.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6940" w:firstLine="8"/>
        <w:spacing w:after="0" w:line="397" w:lineRule="auto"/>
        <w:tabs>
          <w:tab w:leader="none" w:pos="27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Controls and Procedures </w:t>
      </w:r>
      <w:r>
        <w:rPr>
          <w:rFonts w:ascii="Arial" w:cs="Arial" w:eastAsia="Arial" w:hAnsi="Arial"/>
          <w:sz w:val="17"/>
          <w:szCs w:val="17"/>
          <w:b w:val="1"/>
          <w:bCs w:val="1"/>
          <w:i w:val="1"/>
          <w:iCs w:val="1"/>
          <w:color w:val="auto"/>
        </w:rPr>
        <w:t>Evaluation of Disclosure Controls and Procedures</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Internal Control over Financial Reporting</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have been no changes to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6" w:right="4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2020"/>
        <w:spacing w:after="0" w:line="262" w:lineRule="auto"/>
        <w:rPr>
          <w:sz w:val="20"/>
          <w:szCs w:val="20"/>
          <w:color w:val="auto"/>
        </w:rPr>
      </w:pPr>
      <w:r>
        <w:rPr>
          <w:rFonts w:ascii="Arial" w:cs="Arial" w:eastAsia="Arial" w:hAnsi="Arial"/>
          <w:sz w:val="18"/>
          <w:szCs w:val="18"/>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under “Risk Factors” in the Company’s Annual Report on Form 10-K for the year ended December 31, 2023 as filed with the SEC. These risks could materially and adversely affect the business, financial condition and results of operations of CBIZ.</w:t>
      </w:r>
    </w:p>
    <w:p>
      <w:pPr>
        <w:spacing w:after="0" w:line="4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July 30, 2024, we entered into a Merger Agreement to acquire the non-attest business of Marcum for a total consideration of approximately $2.3 billion. The Merger and the transactions contemplated by the Merger Agreement are referred to herein as the “Transaction". Subject to the satisfaction of closing conditions, the Transaction is expected to close in the fourth quarter of 2024. Refer to Note 12. Subsequent Events to the accompanying unaudited condensed consolidated financial statements for further discussion regarding the Transaction. Risks related to the Transaction follow: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Transaction are not satisfied, the Transaction will not be completed.</w:t>
      </w:r>
    </w:p>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completion of the Transaction is subject to various closing conditions, including, among others, (a) the expiration of all waiting periods and receipt of all approvals required under the Hart-Scott-Rodino Antitrust Improvements Act of 1976; (b) the Company obtaining stockholder</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approval of the issuance of the shares in connection with the Transaction as required by the rules of the New York Stock Exchange; (c) Marcum obtaining the requisite approval of its partners as specified in the Merger Agreement; and (d) the Company obtaining debt financing. Certain of the conditions to the closing of the Transaction are not within our control, and we cannot predict when or if these conditions will be satisfied. The failure to satisfy any of the required conditions could delay the completion of the Transaction or prevent it from occurring. Any delay or failure in completing the Transaction could cause us not to realize some or all of the benefits that we expect to achieve. There can be no assurance that the conditions to the closing of the Transaction will be satisfied or that the Transaction will be completed.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 could negatively impact our stock price and our future business and financial results.</w:t>
      </w:r>
    </w:p>
    <w:p>
      <w:pPr>
        <w:spacing w:after="0" w:line="1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Transaction is not completed for any reason, our ongoing business may be adversely affected and, without realizing any of the benefits of the Transaction, we could be subject to a number of negative consequences, including, among others: (i) negative reactions from investors and the financial markets, including negative impacts on our stock price; (ii) payments of a termination fee if the Transaction is not completed due to failure to receive approval of our stockholders or failure to receive financing; and (iii) significant transaction expenses, both direct and</w:t>
      </w:r>
    </w:p>
    <w:p>
      <w:pPr>
        <w:ind w:right="60"/>
        <w:spacing w:after="0"/>
        <w:rPr>
          <w:sz w:val="20"/>
          <w:szCs w:val="20"/>
          <w:color w:val="auto"/>
        </w:rPr>
      </w:pPr>
      <w:r>
        <w:rPr>
          <w:rFonts w:ascii="Arial" w:cs="Arial" w:eastAsia="Arial" w:hAnsi="Arial"/>
          <w:sz w:val="17"/>
          <w:szCs w:val="17"/>
          <w:color w:val="auto"/>
        </w:rPr>
        <w:t>indirect in the form of opportunity costs, to us in connection with the Transaction, which have been and will be incurred regardless of whether the Transaction is completed. If the Transaction is not completed or if completion of the Transaction is delayed, any of these risks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business, financial condition, financial results, and stock price.</w:t>
      </w:r>
    </w:p>
    <w:p>
      <w:pPr>
        <w:spacing w:after="0" w:line="2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Transaction, or it may prove disruptive and could result in the combined business failing to meet our expectations.</w:t>
      </w:r>
    </w:p>
    <w:p>
      <w:pPr>
        <w:spacing w:after="0" w:line="49"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success of the Transaction will depend, in part, on our ability to successfully integrate Marcum with our current operations. The Transaction will be the Company’s largest acquisition to date, and the size and complexity of the Transaction creates inherent challenges, risk and uncertainty in the integration process. If we are not able to successfully integrate Marcum, operationally and culturally, the anticipated benefits of the Transaction may not be realized fully or at all or may take longer or cost more to realize than expected. The process of integrating Marcum’s operations will likely require a disproportionate amount of resources and management attention. Our management team may also encounter unforeseen difficulties in managing the integration process. It is possible that the integration process could result in the loss of valuable employees or difficulty in attracting new talent, the disruption of our and Marcum’s ongoing businesses and client relationships or inconsistencies in standards, controls, procedures, practices, and policies that could adversely impact our</w:t>
      </w:r>
    </w:p>
    <w:p>
      <w:pPr>
        <w:spacing w:after="0" w:line="3"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operations. Disruption and distraction caused by this process could also prevent us from pursuing, or otherwise divert resources and attention from, otherwise attractive business and growth opportunities.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ind w:right="20"/>
        <w:spacing w:after="0"/>
        <w:rPr>
          <w:sz w:val="20"/>
          <w:szCs w:val="20"/>
          <w:color w:val="auto"/>
        </w:rPr>
      </w:pPr>
      <w:r>
        <w:rPr>
          <w:rFonts w:ascii="Arial" w:cs="Arial" w:eastAsia="Arial" w:hAnsi="Arial"/>
          <w:sz w:val="18"/>
          <w:szCs w:val="18"/>
          <w:color w:val="auto"/>
        </w:rPr>
        <w:t>Even if we successfully integrate Marcum, there can be no assurance we will realize anticipated benefits. While our management and advisors have spent significant time and resources evaluating Marcum’s business, it is difficult to predict future performance and benefits from a Transaction involving large and complex organizations. It is also possible that we may have underestimated liabilities that we are assuming, or we may assume liabilities that are unknown or that we did not foresee, any of which could increase the effective cost of the Transaction and adversely impact our financial condition or results. The performance and benefits that we ultimately achieve may be influenced by a variety of factors, many of which are outside of our control. If we do not achieve the anticipated benefits of the Transaction, at all or in the expected timeframe, our business would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increased leverage following the Transaction may adversely impact our business.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will incur substantial indebtedness to fund the Transaction. As a result, our leverage ratio will increase significant immediately following the closing. If we do not perform in accordance with our expectations following the Transaction, we could be unable to reduce leverage to</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normalized levels, whether in anticipated timeframes or at all. We could also face difficulties servicing and complying with the covenants and other terms of our debt instruments. In addition, if we are unable to reduce our levels of indebtedness following the Transaction, we may be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unable to pursue business and growth opportunities and uses of capital that would be beneficial to us and our stockholders, such as additional acquisitions and share repurchases. We also cannot provide assurance that we will be able to consummate the financing on the terms contemplated by our financing commitments, if at all. If the financing that we ultimately obtain is on less favorable terms than currently contemplated, the foregoing risks could be exacerbated.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significant number of shares issuable as consideration for the Transaction may adversely impact our stock price.</w:t>
      </w:r>
    </w:p>
    <w:p>
      <w:pPr>
        <w:spacing w:after="0" w:line="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There can be no assurance the Transaction will be accretive to earnings per share, at all or in expected timeframes. If the Company does not perform as expected following the Transaction or costs are greater than anticipated, our earnings per share could be adversely impacted by the significant increase in outstanding shares. In addition, although restrictions on resale under applicable securities laws will prevent sales in at least the six months following closing, Marcum partners will not be subject to contractual limitations on their ability to resell shares once they receive them. While the delivery of the stock consideration in installments over approximately three years may mitigate the potential for sales of a large volume at any particular time, persistent selling, or the perception of persistent selling, could adversely impact the market price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stockholders will have a reduced ownership and voting interest after the Transaction compared to their current ownership.</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Once fully issued, the shares issuable to Marcum partners in the transaction are expected to constitute approximately 22% of our outstanding shares, without giving effect to any subsequent issuances, repurchases or other changes in the number of shares outstanding. As a result, our current stockholders will own a meaningfully smaller percentage of the Company than they currently own, and collectively will have less</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ability to influence the Company's management and policies. In addition, to the extent that Marcum partners retain a significant portion of the shares that are issued to them, they will collectively have significant influence on any matters requiring a vote of stockholders.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could exacerbate the existing business risk that we face.</w:t>
      </w:r>
    </w:p>
    <w:p>
      <w:pPr>
        <w:spacing w:after="0" w:line="10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pendency of and following the Transaction, we will continue to be subject to the business risks that we currently face as described under “Risk Factors” in our Annual Report on Form 10-K for the year ended December 31, 2023. However, it may be more challenging to effectively manage and mitigate these risks as a result of the significant resources that will be dedicated to the execution and integration of the Transaction. Disruptions or distractions as a result these efforts could make the risks we already face more likely to be realized, or subject us to additional risks. As part of our integration efforts, we will also need to ensure that our risk management policies and controls are appropriate for a larger and more complex organization. This will be an inherently challenging process that will take time, and we could be subject to elevated risks if we are not successful or are delayed in implementing effective policies and controls. In addition, the expanded size and complexity of our business after the Transaction is completed, as well as changes to the nature of our business, could increase the magnitude of some of the risks we face. There are substantial uncertainties associated with all of the foregoing, and any these risks may adversely affect our business, financial condition, financial results, and stock price.</w:t>
      </w:r>
    </w:p>
    <w:p>
      <w:pPr>
        <w:spacing w:after="0" w:line="5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Except as disclosed above, there have been no material changes to the risk factors disclosed under "Risk Factors"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ind w:right="4080"/>
        <w:spacing w:after="0" w:line="375" w:lineRule="auto"/>
        <w:rPr>
          <w:sz w:val="20"/>
          <w:szCs w:val="20"/>
          <w:color w:val="auto"/>
        </w:rPr>
      </w:pPr>
      <w:r>
        <w:rPr>
          <w:rFonts w:ascii="Arial" w:cs="Arial" w:eastAsia="Arial" w:hAnsi="Arial"/>
          <w:sz w:val="18"/>
          <w:szCs w:val="18"/>
          <w:b w:val="1"/>
          <w:bCs w:val="1"/>
          <w:color w:val="auto"/>
        </w:rPr>
        <w:t>ITEM 2. UNREGISTERED SALES OF EQUITY SECURITIES AND USE OF PROCEEDS (a) Recent sales of unregistered securities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June 30, 2024, approximately 94 thousand shares of our common stock were issued as payment for contingent consideration for previous acquisitions.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Issuer purchases of equity securities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7, 2024, our Board of Directors authorized the continuation of the Share Repurchase Program, which has been renewed annually for the past twenty years. It was effective beginning March 31, 2024, to which the amount of shares to be purchased was reset to five million, and expires one year from the effective date. This authorization allows us to purchase shares of our common stock (i) in the open market, (ii) in privately negotiated transactions, or (iii) under Rule 10b5-1 trading plans.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Privately negotiated transactions may include purchases from our employees, officers and directors, in accordance with SEC rules.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under the Share Repurchase Program during the three months ended June 30, 2024.</w:t>
      </w:r>
    </w:p>
    <w:p>
      <w:pPr>
        <w:spacing w:after="0" w:line="306"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According to the terms of our 2022 credit facility, our ability to declare or make any dividend payments is limited. Refer to Note 4, Debt and Financing Arrangements, to the condensed consolidated financial statements for a description of working capital restrictions and limitations on the payment of dividends.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quarter period ended June 30, 2024,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spacing w:after="0"/>
              <w:rPr>
                <w:sz w:val="17"/>
                <w:szCs w:val="17"/>
                <w:color w:val="auto"/>
              </w:rPr>
            </w:pPr>
          </w:p>
        </w:tc>
        <w:tc>
          <w:tcPr>
            <w:tcW w:w="9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Agreement and Plan of Merger, dated July 30, 2024, among the Company, Marcum LLP, Marcum Advisory Group LLC,</w:t>
            </w:r>
          </w:p>
        </w:tc>
      </w:tr>
      <w:tr>
        <w:trPr>
          <w:trHeight w:val="176"/>
        </w:trPr>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0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PMMS LLC, and Marcum Partners SPV LLC (filed as Exhibit 2.1 to the Company's Report on Form 8-K, File No. 001-</w:t>
            </w:r>
          </w:p>
        </w:tc>
      </w:tr>
      <w:tr>
        <w:trPr>
          <w:trHeight w:val="243"/>
        </w:trPr>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32961, dated July 31, 2024, and incorporated herein by reference).</w:t>
            </w: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10.1</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6"/>
          </w:tcPr>
          <w:p>
            <w:pPr>
              <w:ind w:left="20"/>
              <w:spacing w:after="0" w:line="189" w:lineRule="exact"/>
              <w:rPr>
                <w:sz w:val="20"/>
                <w:szCs w:val="20"/>
                <w:color w:val="auto"/>
              </w:rPr>
            </w:pPr>
            <w:r>
              <w:rPr>
                <w:rFonts w:ascii="Arial" w:cs="Arial" w:eastAsia="Arial" w:hAnsi="Arial"/>
                <w:sz w:val="18"/>
                <w:szCs w:val="18"/>
                <w:color w:val="0000FF"/>
              </w:rPr>
              <w:t>Sixth Amendment to Loan Agreement, dated August 1, 2024, by and among CBIZ Benefit and Insurance Services, Inc.</w:t>
            </w:r>
          </w:p>
        </w:tc>
      </w:tr>
      <w:tr>
        <w:trPr>
          <w:trHeight w:val="156"/>
        </w:trPr>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60" w:type="dxa"/>
            <w:vAlign w:val="bottom"/>
            <w:tcBorders>
              <w:top w:val="single" w:sz="8" w:color="0000FF"/>
            </w:tcBorders>
            <w:gridSpan w:val="5"/>
          </w:tcPr>
          <w:p>
            <w:pPr>
              <w:ind w:left="20"/>
              <w:spacing w:after="0" w:line="156" w:lineRule="exact"/>
              <w:rPr>
                <w:sz w:val="20"/>
                <w:szCs w:val="20"/>
                <w:color w:val="auto"/>
              </w:rPr>
            </w:pPr>
            <w:r>
              <w:rPr>
                <w:rFonts w:ascii="Arial" w:cs="Arial" w:eastAsia="Arial" w:hAnsi="Arial"/>
                <w:sz w:val="18"/>
                <w:szCs w:val="18"/>
                <w:color w:val="0000FF"/>
              </w:rPr>
              <w:t>and the Huntington National Bank.</w:t>
            </w:r>
          </w:p>
        </w:tc>
        <w:tc>
          <w:tcPr>
            <w:tcW w:w="34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0"/>
        </w:trPr>
        <w:tc>
          <w:tcPr>
            <w:tcW w:w="5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31.1</w:t>
            </w:r>
          </w:p>
        </w:tc>
        <w:tc>
          <w:tcPr>
            <w:tcW w:w="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 Oxley Act of 2002.</w:t>
            </w:r>
          </w:p>
        </w:tc>
      </w:tr>
      <w:tr>
        <w:trPr>
          <w:trHeight w:val="189"/>
        </w:trPr>
        <w:tc>
          <w:tcPr>
            <w:tcW w:w="52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8"/>
                <w:szCs w:val="18"/>
                <w:color w:val="auto"/>
              </w:rPr>
              <w:t>31.2</w:t>
            </w:r>
          </w:p>
        </w:tc>
        <w:tc>
          <w:tcPr>
            <w:tcW w:w="9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w:t>
            </w:r>
          </w:p>
        </w:tc>
        <w:tc>
          <w:tcPr>
            <w:tcW w:w="7840" w:type="dxa"/>
            <w:vAlign w:val="bottom"/>
            <w:tcBorders>
              <w:top w:val="single" w:sz="8" w:color="0000FF"/>
            </w:tcBorders>
            <w:gridSpan w:val="3"/>
          </w:tcPr>
          <w:p>
            <w:pPr>
              <w:ind w:left="20"/>
              <w:spacing w:after="0" w:line="189"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1960" w:type="dxa"/>
            <w:vAlign w:val="bottom"/>
            <w:tcBorders>
              <w:top w:val="single" w:sz="8" w:color="CCEEFF"/>
            </w:tcBorders>
            <w:gridSpan w:val="3"/>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50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32.1</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6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Executive Officer Pursuant to Section 906 of the Sarbanes-Oxley Act of 2002.</w:t>
            </w:r>
          </w:p>
        </w:tc>
        <w:tc>
          <w:tcPr>
            <w:tcW w:w="1940" w:type="dxa"/>
            <w:vAlign w:val="bottom"/>
            <w:tcBorders>
              <w:bottom w:val="single" w:sz="8" w:color="CCEEFF"/>
            </w:tcBorders>
            <w:gridSpan w:val="2"/>
            <w:shd w:val="clear" w:color="auto" w:fill="CCEEFF"/>
          </w:tcPr>
          <w:p>
            <w:pPr>
              <w:spacing w:after="0"/>
              <w:rPr>
                <w:sz w:val="18"/>
                <w:szCs w:val="18"/>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32.2</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6"/>
          </w:tcPr>
          <w:p>
            <w:pPr>
              <w:ind w:left="20"/>
              <w:spacing w:after="0" w:line="189" w:lineRule="exact"/>
              <w:rPr>
                <w:sz w:val="20"/>
                <w:szCs w:val="20"/>
                <w:color w:val="auto"/>
              </w:rPr>
            </w:pPr>
            <w:r>
              <w:rPr>
                <w:rFonts w:ascii="Arial" w:cs="Arial" w:eastAsia="Arial" w:hAnsi="Arial"/>
                <w:sz w:val="18"/>
                <w:szCs w:val="18"/>
                <w:color w:val="0000FF"/>
              </w:rPr>
              <w:t>Certification of Chief Financial Officer Pursuant to Section 906 of the Sarbanes-Oxley Act of 2002.</w:t>
            </w: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50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980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43"/>
        </w:trPr>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right="1380" w:firstLine="26"/>
        <w:spacing w:after="0" w:line="414" w:lineRule="auto"/>
        <w:tabs>
          <w:tab w:leader="none" w:pos="142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the Exhibit 101 attachments) * Indicates documents filed herewith.</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document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CBIZ, Inc.</w:t>
            </w:r>
          </w:p>
        </w:tc>
      </w:tr>
      <w:tr>
        <w:trPr>
          <w:trHeight w:val="232"/>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36"/>
        </w:trPr>
        <w:tc>
          <w:tcPr>
            <w:tcW w:w="3880" w:type="dxa"/>
            <w:vAlign w:val="bottom"/>
            <w:gridSpan w:val="3"/>
          </w:tcPr>
          <w:p>
            <w:pPr>
              <w:spacing w:after="0"/>
              <w:rPr>
                <w:sz w:val="20"/>
                <w:szCs w:val="20"/>
                <w:color w:val="auto"/>
              </w:rPr>
            </w:pPr>
            <w:r>
              <w:rPr>
                <w:rFonts w:ascii="Arial" w:cs="Arial" w:eastAsia="Arial" w:hAnsi="Arial"/>
                <w:sz w:val="18"/>
                <w:szCs w:val="18"/>
                <w:color w:val="auto"/>
              </w:rPr>
              <w:t>Date:  August 1, 2024</w:t>
            </w:r>
          </w:p>
        </w:tc>
        <w:tc>
          <w:tcPr>
            <w:tcW w:w="7320" w:type="dxa"/>
            <w:vAlign w:val="bottom"/>
            <w:gridSpan w:val="2"/>
          </w:tcPr>
          <w:p>
            <w:pPr>
              <w:ind w:left="2020"/>
              <w:spacing w:after="0"/>
              <w:rPr>
                <w:sz w:val="20"/>
                <w:szCs w:val="20"/>
                <w:color w:val="auto"/>
              </w:rPr>
            </w:pPr>
            <w:r>
              <w:rPr>
                <w:rFonts w:ascii="Arial" w:cs="Arial" w:eastAsia="Arial" w:hAnsi="Arial"/>
                <w:sz w:val="18"/>
                <w:szCs w:val="18"/>
                <w:color w:val="auto"/>
              </w:rPr>
              <w:t>By:   /s/ Ware H. Grove</w:t>
            </w:r>
          </w:p>
        </w:tc>
      </w:tr>
      <w:tr>
        <w:trPr>
          <w:trHeight w:val="21"/>
        </w:trPr>
        <w:tc>
          <w:tcPr>
            <w:tcW w:w="66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Ware H. Grove</w:t>
            </w:r>
          </w:p>
        </w:tc>
      </w:tr>
      <w:tr>
        <w:trPr>
          <w:trHeight w:val="229"/>
        </w:trPr>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Duly Authorized Officer and Principal Financial Officer</w:t>
            </w:r>
          </w:p>
        </w:tc>
      </w:tr>
    </w:tbl>
    <w:p>
      <w:pPr>
        <w:sectPr>
          <w:pgSz w:w="11900" w:h="16838" w:orient="portrait"/>
          <w:cols w:equalWidth="0" w:num="1">
            <w:col w:w="11220"/>
          </w:cols>
          <w:pgMar w:left="320" w:top="890" w:right="359" w:bottom="1440" w:gutter="0" w:footer="0" w:header="0"/>
        </w:sectPr>
      </w:pPr>
    </w:p>
    <w:bookmarkStart w:id="45" w:name="page46"/>
    <w:bookmarkEnd w:id="45"/>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SIXTH AMENDMENT TO LOAN AGREEMENT</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478" w:lineRule="auto"/>
        <w:rPr>
          <w:sz w:val="20"/>
          <w:szCs w:val="20"/>
          <w:color w:val="auto"/>
        </w:rPr>
      </w:pPr>
      <w:r>
        <w:rPr>
          <w:rFonts w:ascii="Times New Roman" w:cs="Times New Roman" w:eastAsia="Times New Roman" w:hAnsi="Times New Roman"/>
          <w:sz w:val="22"/>
          <w:szCs w:val="22"/>
          <w:b w:val="1"/>
          <w:bCs w:val="1"/>
          <w:color w:val="auto"/>
        </w:rPr>
        <w:t xml:space="preserve">THIS SIXTH AMENDMENT TO LOAN AGREEMENT </w:t>
      </w:r>
      <w:r>
        <w:rPr>
          <w:rFonts w:ascii="Times New Roman" w:cs="Times New Roman" w:eastAsia="Times New Roman" w:hAnsi="Times New Roman"/>
          <w:sz w:val="22"/>
          <w:szCs w:val="22"/>
          <w:color w:val="auto"/>
        </w:rPr>
        <w:t>(“this Sixth Amendment”) is made and entered into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1, 2024, by and between CBIZ BENEFITS &amp; INSURANCE SERVICES, INC., a Missouri corporation (the “Borrower”), and THE HUNTINGTON NATIONAL BANK, a national banking association (the “Lender”).</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jc w:val="both"/>
        <w:ind w:firstLine="656"/>
        <w:spacing w:after="0" w:line="475" w:lineRule="auto"/>
        <w:tabs>
          <w:tab w:leader="none" w:pos="107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the Lender are parties to that certain Loan Agreement dated as of August 16, 2018, as amended by that certain First Amendment to Loan Agreement dated as of August 8, 2019, as further amended by that certain Second Amendment to Loan Agreement dated as of August 6, 2020, as further amended by that certain Third Amendment to Loan Agreement dated as of August 5, 2021, as further amended by that certain Fourth Amendment to Loan Agreement dated as of August 1, 2022, and as further amended by that certain Fifth Amendment to Loan Agreement dated as of August 3, 2023 (the “Loan Agreement”), pursuant to which,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the Lender agreed, subject to the terms and conditions thereof, to advance Revolving Loans (as this and other capitalized terms used herein but not otherwise defined herein are defined in the Loan Agreement).</w:t>
      </w:r>
    </w:p>
    <w:p>
      <w:pPr>
        <w:spacing w:after="0" w:line="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and all accrued interest under the Revolving Loans are due and payable in full on August 1, 2024.</w:t>
      </w:r>
    </w:p>
    <w:p>
      <w:pPr>
        <w:spacing w:after="0" w:line="246" w:lineRule="exact"/>
        <w:rPr>
          <w:rFonts w:ascii="Times New Roman" w:cs="Times New Roman" w:eastAsia="Times New Roman" w:hAnsi="Times New Roman"/>
          <w:sz w:val="22"/>
          <w:szCs w:val="22"/>
          <w:color w:val="auto"/>
        </w:rPr>
      </w:pPr>
    </w:p>
    <w:p>
      <w:pPr>
        <w:ind w:firstLine="656"/>
        <w:spacing w:after="0" w:line="473" w:lineRule="auto"/>
        <w:tabs>
          <w:tab w:leader="none" w:pos="115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Lender agree to extend the Revolving Availability Termination Date under the Loan Agreement for three hundred sixty-four (364) days.</w:t>
      </w:r>
    </w:p>
    <w:p>
      <w:pPr>
        <w:spacing w:after="0" w:line="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Sixth Amendment, the Lender has agreed to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1102172529\3\AMERICAS</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foregoing Recitals and the mutual agreements hereinafter set forth,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 and the Lender hereby agree as follows:</w:t>
      </w:r>
    </w:p>
    <w:p>
      <w:pPr>
        <w:spacing w:after="0" w:line="247" w:lineRule="exact"/>
        <w:rPr>
          <w:sz w:val="20"/>
          <w:szCs w:val="20"/>
          <w:color w:val="auto"/>
        </w:rPr>
      </w:pPr>
    </w:p>
    <w:p>
      <w:pPr>
        <w:ind w:left="1040" w:hanging="384"/>
        <w:spacing w:after="0"/>
        <w:tabs>
          <w:tab w:leader="none" w:pos="1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Loan Agreement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656"/>
        <w:spacing w:after="0" w:line="480" w:lineRule="auto"/>
        <w:tabs>
          <w:tab w:leader="none" w:pos="125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“Revolving Availability Termination Date” set forth in Section 1.01 of the Loan Agreement is hereby amended by deleting the words “August 1, 2024” and inserting the words “July 31, 2025” in their stead.</w:t>
      </w:r>
    </w:p>
    <w:p>
      <w:pPr>
        <w:spacing w:after="0" w:line="1" w:lineRule="exact"/>
        <w:rPr>
          <w:sz w:val="20"/>
          <w:szCs w:val="20"/>
          <w:color w:val="auto"/>
        </w:rPr>
      </w:pPr>
    </w:p>
    <w:p>
      <w:pPr>
        <w:jc w:val="both"/>
        <w:ind w:firstLine="656"/>
        <w:spacing w:after="0" w:line="473" w:lineRule="auto"/>
        <w:tabs>
          <w:tab w:leader="none" w:pos="102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Conditions Precedent</w:t>
      </w:r>
      <w:r>
        <w:rPr>
          <w:rFonts w:ascii="Times New Roman" w:cs="Times New Roman" w:eastAsia="Times New Roman" w:hAnsi="Times New Roman"/>
          <w:sz w:val="22"/>
          <w:szCs w:val="22"/>
          <w:color w:val="auto"/>
        </w:rPr>
        <w:t>. The modifications to the Loan Agreement set forth in Paragraph 1, above, shall not be effective unless and until the date on which the Borrower has satisfied all of the following conditions precedent (such date of effectiveness being the “Sixth Amendment Effective Date”):</w:t>
      </w:r>
    </w:p>
    <w:p>
      <w:pPr>
        <w:spacing w:after="0" w:line="3" w:lineRule="exact"/>
        <w:rPr>
          <w:sz w:val="20"/>
          <w:szCs w:val="20"/>
          <w:color w:val="auto"/>
        </w:rPr>
      </w:pPr>
    </w:p>
    <w:p>
      <w:pPr>
        <w:ind w:left="1160" w:hanging="504"/>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 shall have received counterparts of this Sixth Amendment executed by the Borrower.</w:t>
      </w:r>
    </w:p>
    <w:p>
      <w:pPr>
        <w:spacing w:after="0" w:line="246" w:lineRule="exact"/>
        <w:rPr>
          <w:rFonts w:ascii="Times New Roman" w:cs="Times New Roman" w:eastAsia="Times New Roman" w:hAnsi="Times New Roman"/>
          <w:sz w:val="22"/>
          <w:szCs w:val="22"/>
          <w:color w:val="auto"/>
        </w:rPr>
      </w:pPr>
    </w:p>
    <w:p>
      <w:pPr>
        <w:jc w:val="both"/>
        <w:ind w:firstLine="656"/>
        <w:spacing w:after="0" w:line="476" w:lineRule="auto"/>
        <w:tabs>
          <w:tab w:leader="none" w:pos="11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Sixth Amendment Effective Date and after giving effect to the amendments contained herein (i) there shall exist no Event of Default, and (ii) the representations and warranties of the Borrower under the Loan Agreement, as amended by this Sixth Amendment, shall be true and correct as of the Sixth Amendment Effective Date (except to the extent that any such representation and warranty refers to an earlier date, in which case such representation and warranty is true and correct as of such earlier date), subject only to variances therefrom acceptable to the Lender.</w:t>
      </w:r>
    </w:p>
    <w:p>
      <w:pPr>
        <w:spacing w:after="0" w:line="2" w:lineRule="exact"/>
        <w:rPr>
          <w:rFonts w:ascii="Times New Roman" w:cs="Times New Roman" w:eastAsia="Times New Roman" w:hAnsi="Times New Roman"/>
          <w:sz w:val="22"/>
          <w:szCs w:val="22"/>
          <w:color w:val="auto"/>
        </w:rPr>
      </w:pPr>
    </w:p>
    <w:p>
      <w:pPr>
        <w:ind w:firstLine="656"/>
        <w:spacing w:after="0" w:line="501" w:lineRule="auto"/>
        <w:tabs>
          <w:tab w:leader="none" w:pos="117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matters incident to this Sixth Amendment and the consummation of the transactions contemplated hereby shall be reasonably satisfactory to Squire Patton Boggs (US) LLP, Cleveland, Ohio, special counsel to the Lender.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1102172529\3\AMERICAS</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04" w:lineRule="exact"/>
        <w:rPr>
          <w:sz w:val="20"/>
          <w:szCs w:val="20"/>
          <w:color w:val="auto"/>
        </w:rPr>
      </w:pPr>
    </w:p>
    <w:p>
      <w:pPr>
        <w:ind w:right="20" w:firstLine="656"/>
        <w:spacing w:after="0" w:line="473" w:lineRule="auto"/>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Loan Documents</w:t>
      </w:r>
      <w:r>
        <w:rPr>
          <w:rFonts w:ascii="Times New Roman" w:cs="Times New Roman" w:eastAsia="Times New Roman" w:hAnsi="Times New Roman"/>
          <w:sz w:val="22"/>
          <w:szCs w:val="22"/>
          <w:color w:val="auto"/>
        </w:rPr>
        <w:t>. Any reference to the Loan Agreement in any of the Loan Documents shall, from and after the Sixth Amendment Effective Date, be deemed to refer to the Loan Agreement, as modified by this Sixth Amendment.</w:t>
      </w:r>
    </w:p>
    <w:p>
      <w:pPr>
        <w:spacing w:after="0" w:line="1" w:lineRule="exact"/>
        <w:rPr>
          <w:rFonts w:ascii="Times New Roman" w:cs="Times New Roman" w:eastAsia="Times New Roman" w:hAnsi="Times New Roman"/>
          <w:sz w:val="22"/>
          <w:szCs w:val="22"/>
          <w:color w:val="auto"/>
        </w:rPr>
      </w:pPr>
    </w:p>
    <w:p>
      <w:pPr>
        <w:jc w:val="both"/>
        <w:ind w:firstLine="656"/>
        <w:spacing w:after="0" w:line="476" w:lineRule="auto"/>
        <w:tabs>
          <w:tab w:leader="none" w:pos="10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of Debt</w:t>
      </w:r>
      <w:r>
        <w:rPr>
          <w:rFonts w:ascii="Times New Roman" w:cs="Times New Roman" w:eastAsia="Times New Roman" w:hAnsi="Times New Roman"/>
          <w:sz w:val="22"/>
          <w:szCs w:val="22"/>
          <w:color w:val="auto"/>
        </w:rPr>
        <w:t>. The Borrower hereby affirms all of its liabilities and obligations to the Lender under the Loan Agreement, as modified hereby, and that such liabilities and obligations are owed to the Lender. The Borrower further acknowledges and agrees that as of the date hereof, it has no claims, defenses or set-off rights against the Lender of any nature whatsoever, whether sounding in tort, contract or otherwise; and there are no claims, defenses or set-offs to the enforcement by the Lender of the liabilities and obligations of the Borrower to the Lender under the Loan Agreement or any of the Loan Documents.</w:t>
      </w:r>
    </w:p>
    <w:p>
      <w:pPr>
        <w:ind w:right="20" w:firstLine="656"/>
        <w:spacing w:after="0" w:line="473" w:lineRule="auto"/>
        <w:tabs>
          <w:tab w:leader="none" w:pos="11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Lender’s Expense</w:t>
      </w:r>
      <w:r>
        <w:rPr>
          <w:rFonts w:ascii="Times New Roman" w:cs="Times New Roman" w:eastAsia="Times New Roman" w:hAnsi="Times New Roman"/>
          <w:sz w:val="22"/>
          <w:szCs w:val="22"/>
          <w:color w:val="auto"/>
        </w:rPr>
        <w:t>. The Borrower agrees to reimburse the Lender promptly for its costs and expenses incurred in connection with this Sixth Amendment and the transactions contemplated hereby.</w:t>
      </w:r>
    </w:p>
    <w:p>
      <w:pPr>
        <w:spacing w:after="0" w:line="1" w:lineRule="exact"/>
        <w:rPr>
          <w:rFonts w:ascii="Times New Roman" w:cs="Times New Roman" w:eastAsia="Times New Roman" w:hAnsi="Times New Roman"/>
          <w:sz w:val="22"/>
          <w:szCs w:val="22"/>
          <w:color w:val="auto"/>
        </w:rPr>
      </w:pPr>
    </w:p>
    <w:p>
      <w:pPr>
        <w:jc w:val="both"/>
        <w:ind w:firstLine="656"/>
        <w:spacing w:after="0" w:line="507" w:lineRule="auto"/>
        <w:tabs>
          <w:tab w:leader="none" w:pos="103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Modifications; Same Indebtedness</w:t>
      </w:r>
      <w:r>
        <w:rPr>
          <w:rFonts w:ascii="Times New Roman" w:cs="Times New Roman" w:eastAsia="Times New Roman" w:hAnsi="Times New Roman"/>
          <w:sz w:val="21"/>
          <w:szCs w:val="21"/>
          <w:color w:val="auto"/>
        </w:rPr>
        <w:t>. Except as expressly provided in this Sixth Amendment, all of the terms and conditions of the Loan Agreement and the other Loan Documents remain unchanged and in full force and effect. The modifications effected by this Sixth Amendment and by the other instruments contemplated hereby shall not be deemed to provide for or effect a repayment and re-advance of any of the Revolving Loans now outstanding, it being the intention of the Borrower and the Lender hereby that the indebtedness owing under the Loan Agreement, as amended by this Sixth Amendment, be and hereby is the same indebtedness as that owing under the Loan Agreement immediately prior to the effectiveness 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1102172529\3\AMERICAS</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04" w:lineRule="exact"/>
        <w:rPr>
          <w:sz w:val="20"/>
          <w:szCs w:val="20"/>
          <w:color w:val="auto"/>
        </w:rPr>
      </w:pPr>
    </w:p>
    <w:p>
      <w:pPr>
        <w:jc w:val="both"/>
        <w:ind w:firstLine="656"/>
        <w:spacing w:after="0" w:line="473" w:lineRule="auto"/>
        <w:tabs>
          <w:tab w:leader="none" w:pos="10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Binding Effect</w:t>
      </w:r>
      <w:r>
        <w:rPr>
          <w:rFonts w:ascii="Times New Roman" w:cs="Times New Roman" w:eastAsia="Times New Roman" w:hAnsi="Times New Roman"/>
          <w:sz w:val="22"/>
          <w:szCs w:val="22"/>
          <w:color w:val="auto"/>
        </w:rPr>
        <w:t>. This Sixth Amendment shall be governed by and construed in accordance with the laws of the State of Ohio and shall be binding upon and inure to the benefit of the Borrower and the Lender and their respective successors and assigns.</w:t>
      </w:r>
    </w:p>
    <w:p>
      <w:pPr>
        <w:spacing w:after="0" w:line="2" w:lineRule="exact"/>
        <w:rPr>
          <w:rFonts w:ascii="Times New Roman" w:cs="Times New Roman" w:eastAsia="Times New Roman" w:hAnsi="Times New Roman"/>
          <w:sz w:val="22"/>
          <w:szCs w:val="22"/>
          <w:color w:val="auto"/>
        </w:rPr>
      </w:pPr>
    </w:p>
    <w:p>
      <w:pPr>
        <w:ind w:firstLine="656"/>
        <w:spacing w:after="0" w:line="480" w:lineRule="auto"/>
        <w:tabs>
          <w:tab w:leader="none" w:pos="10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Sixth Amendment may be executed in separate counterparts, each of which shall be deemed to be an original, and all of which together shall be deemed a fully executed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1102172529\3\AMERICAS</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Borrower and the Lender have hereunto set their hands as of the date first above written.</w:t>
      </w:r>
    </w:p>
    <w:p>
      <w:pPr>
        <w:spacing w:after="0" w:line="3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CBIZ BENEFITS &amp; INSURANCE SERVICES,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INC.</w:t>
      </w:r>
    </w:p>
    <w:p>
      <w:pPr>
        <w:spacing w:after="0" w:line="200" w:lineRule="exact"/>
        <w:rPr>
          <w:sz w:val="20"/>
          <w:szCs w:val="20"/>
          <w:color w:val="auto"/>
        </w:rPr>
      </w:pPr>
    </w:p>
    <w:p>
      <w:pPr>
        <w:spacing w:after="0" w:line="266" w:lineRule="exact"/>
        <w:rPr>
          <w:sz w:val="20"/>
          <w:szCs w:val="20"/>
          <w:color w:val="auto"/>
        </w:rPr>
      </w:pPr>
    </w:p>
    <w:p>
      <w:pPr>
        <w:ind w:left="3160"/>
        <w:spacing w:after="0"/>
        <w:tabs>
          <w:tab w:leader="none" w:pos="36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w:t>
      </w:r>
    </w:p>
    <w:p>
      <w:pPr>
        <w:spacing w:after="0" w:line="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THE HUNTINGTON NATIONAL BANK</w:t>
      </w: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-13970</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1102172529\3\AMERICAS</w:t>
      </w:r>
    </w:p>
    <w:p>
      <w:pPr>
        <w:sectPr>
          <w:pgSz w:w="11900" w:h="16838" w:orient="portrait"/>
          <w:cols w:equalWidth="0" w:num="1">
            <w:col w:w="10580"/>
          </w:cols>
          <w:pgMar w:left="980" w:top="14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certify that:</w:t>
      </w:r>
    </w:p>
    <w:p>
      <w:pPr>
        <w:spacing w:after="0" w:line="11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Ware H. Grove,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WARE H. GROVE</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 H. Grove</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June 30, 2024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the President and Chief Executive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June 30, 2024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Ware H. Grove, the Chief Financial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WARE H. GROVE</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 H. Grove</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3"/>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
      <w:numFmt w:val="bullet"/>
      <w:start w:val="1"/>
    </w:lvl>
    <w:lvl w:ilvl="1">
      <w:lvlJc w:val="left"/>
      <w:lvlText w:val="%2"/>
      <w:numFmt w:val="decimal"/>
      <w:start w:val="104"/>
    </w:lvl>
  </w:abstractNum>
  <w:abstractNum w:abstractNumId="9">
    <w:nsid w:val="41A7C4C9"/>
    <w:multiLevelType w:val="hybridMultilevel"/>
    <w:lvl w:ilvl="0">
      <w:lvlJc w:val="left"/>
      <w:lvlText w:val="**"/>
      <w:numFmt w:val="bullet"/>
      <w:start w:val="1"/>
    </w:lvl>
    <w:lvl w:ilvl="1">
      <w:lvlJc w:val="left"/>
      <w:lvlText w:val="%2"/>
      <w:numFmt w:val="decimal"/>
      <w:start w:val="1"/>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7"/>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2024-08-01T12:35:34Z</dcterms:created>
  <dcterms:modified xsi:type="dcterms:W3CDTF">2024-08-01T12:35:34Z</dcterms:modified>
</cp:coreProperties>
</file>