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7980ddefa14a.htm"/>
      <w:bookmarkStart w:id="1" w:name="ksd147980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24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Confidential, for Use of the Commission Only (as permitted by Rule 14a-6(e)(2))</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CBIZ,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On August 4, 2026, the following email was sent by CBIZ, Inc. (the “Company”) to its Benefits &amp; Insurance division employees in connection with the Company’s entry into a definitive agreement to be acquired by Grant Thornton Advisors: </w:t>
      </w:r>
    </w:p>
    <w:p>
      <w:pPr>
        <w:pStyle w:val="TextBody"/>
        <w:bidi w:val="0"/>
        <w:spacing w:before="240" w:after="0"/>
        <w:jc w:val="left"/>
        <w:rPr>
          <w:rFonts w:ascii="Times New Roman" w:hAnsi="Times New Roman"/>
          <w:sz w:val="20"/>
        </w:rPr>
      </w:pPr>
      <w:r>
        <w:rPr>
          <w:rFonts w:ascii="Times New Roman" w:hAnsi="Times New Roman"/>
          <w:sz w:val="20"/>
        </w:rPr>
        <w:t xml:space="preserve">Team, </w:t>
      </w:r>
    </w:p>
    <w:p>
      <w:pPr>
        <w:pStyle w:val="TextBody"/>
        <w:bidi w:val="0"/>
        <w:spacing w:before="240" w:after="0"/>
        <w:jc w:val="left"/>
        <w:rPr>
          <w:rFonts w:ascii="Times New Roman" w:hAnsi="Times New Roman"/>
          <w:sz w:val="20"/>
        </w:rPr>
      </w:pPr>
      <w:r>
        <w:rPr>
          <w:rFonts w:ascii="Times New Roman" w:hAnsi="Times New Roman"/>
          <w:sz w:val="20"/>
        </w:rPr>
        <w:t xml:space="preserve">Last week’s announcement regarding the proposed acquisition of CBIZ by Grant Thornton Advisors (GT) marks an important moment in our company’s history. As shared, the Benefits &amp; Insurance business is expected to become a standalone organization owned by New Mountain Capital (NMC) following the close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We recognize that announcements like this naturally create questions. While there is still work ahead and the transaction remains subject to customary approvals and closing conditions, we want to share why we are optimistic and excited about what this means for our future. </w:t>
      </w:r>
    </w:p>
    <w:p>
      <w:pPr>
        <w:pStyle w:val="TextBody"/>
        <w:bidi w:val="0"/>
        <w:spacing w:before="240" w:after="0"/>
        <w:jc w:val="left"/>
        <w:rPr>
          <w:rFonts w:ascii="Times New Roman" w:hAnsi="Times New Roman"/>
          <w:sz w:val="20"/>
        </w:rPr>
      </w:pPr>
      <w:r>
        <w:rPr>
          <w:rFonts w:ascii="Times New Roman" w:hAnsi="Times New Roman"/>
          <w:sz w:val="20"/>
        </w:rPr>
        <w:t>For B&amp;I, this proposed transaction creates a unique opportunity to operate as a dedicated organization focused entirely on serving clients across employee benefits, retirement, property &amp; casualty, human capital, and related advisory services. With over $400 million in revenue and 1,600+ professionals, we will have the scale, talent, and market presence to continue building a leading benefits and insurance platform. There will be no changes to our service teams or client offerings, and our day-to-day focus remains unchanged.</w:t>
      </w:r>
    </w:p>
    <w:p>
      <w:pPr>
        <w:pStyle w:val="TextBody"/>
        <w:bidi w:val="0"/>
        <w:spacing w:before="240" w:after="0"/>
        <w:jc w:val="left"/>
        <w:rPr>
          <w:rFonts w:ascii="Times New Roman" w:hAnsi="Times New Roman"/>
          <w:sz w:val="20"/>
        </w:rPr>
      </w:pPr>
      <w:r>
        <w:rPr>
          <w:rFonts w:ascii="Times New Roman" w:hAnsi="Times New Roman"/>
          <w:sz w:val="20"/>
        </w:rPr>
        <w:t xml:space="preserve">Looking ahead, we believe being a standalone entity positions us very well. Some of the benefits we see: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More direct investment in the growth of our businesses and people.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Removal of all independence conflicts while maintaining a strategic referral relationship with the combined CBIZ FS and GT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restrictions on all Centers of Influence.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Opportunity to continue building a culture defined by entrepreneurship, client service excellence, and collaboration.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Expanded career opportunities for our team members as we grow.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the support of NMC, we can accelerate innovation, technology, data, and AI capabilities that enhance the client experience and aggressively pursue strategic opportunities that strengthen our market position. </w:t>
      </w:r>
    </w:p>
    <w:p>
      <w:pPr>
        <w:pStyle w:val="TextBody"/>
        <w:bidi w:val="0"/>
        <w:spacing w:before="240" w:after="0"/>
        <w:jc w:val="left"/>
        <w:rPr>
          <w:rFonts w:ascii="Times New Roman" w:hAnsi="Times New Roman"/>
          <w:sz w:val="20"/>
        </w:rPr>
      </w:pPr>
      <w:r>
        <w:rPr>
          <w:rFonts w:ascii="Times New Roman" w:hAnsi="Times New Roman"/>
          <w:sz w:val="20"/>
        </w:rPr>
        <w:t xml:space="preserve">Most importantly, our success will continue to be driven by the same strengths that have made B&amp;I successful: exceptional client relationships, deep expertise, a highly collaborative culture, and a relentless focus on delivering value. In other words, you and all you bring to B&amp;I. </w:t>
      </w:r>
    </w:p>
    <w:p>
      <w:pPr>
        <w:pStyle w:val="TextBody"/>
        <w:bidi w:val="0"/>
        <w:spacing w:before="240" w:after="0"/>
        <w:jc w:val="left"/>
        <w:rPr>
          <w:rFonts w:ascii="Times New Roman" w:hAnsi="Times New Roman"/>
          <w:sz w:val="20"/>
        </w:rPr>
      </w:pPr>
      <w:r>
        <w:rPr>
          <w:rFonts w:ascii="Times New Roman" w:hAnsi="Times New Roman"/>
          <w:sz w:val="20"/>
        </w:rPr>
        <w:t xml:space="preserve">As always, we are thankful to each of you for your professionalism, focus, and commitment to our clients during this period. Your dedication is what makes B&amp;I special, and it is why we are confident in the opportunities ahead. </w:t>
      </w:r>
    </w:p>
    <w:p>
      <w:pPr>
        <w:pStyle w:val="TextBody"/>
        <w:bidi w:val="0"/>
        <w:spacing w:before="240" w:after="0"/>
        <w:jc w:val="left"/>
        <w:rPr>
          <w:rFonts w:ascii="Times New Roman" w:hAnsi="Times New Roman"/>
          <w:sz w:val="20"/>
        </w:rPr>
      </w:pPr>
      <w:r>
        <w:rPr>
          <w:rFonts w:ascii="Times New Roman" w:hAnsi="Times New Roman"/>
          <w:sz w:val="20"/>
        </w:rPr>
        <w:t xml:space="preserve">Our B&amp;I leadership team is in the process of meeting New Mountain Capital, and Polly and I will be meeting with their management group in New York over the next few weeks. As additional information becomes available, we will continue to communicate openly and transparently. In the meantime, please continue focusing on serving our clients and supporting one another. Please forward any questions through </w:t>
      </w:r>
      <w:r>
        <w:rPr>
          <w:rFonts w:ascii="Times New Roman" w:hAnsi="Times New Roman"/>
          <w:sz w:val="20"/>
          <w:u w:val="single"/>
        </w:rPr>
        <w:t>this established link</w:t>
      </w:r>
      <w:r>
        <w:rPr>
          <w:rFonts w:ascii="Times New Roman" w:hAnsi="Times New Roman"/>
          <w:sz w:val="20"/>
        </w:rPr>
        <w:t xml:space="preserve">, or reach out to me, Polly or any of our Senior Leadership Team. </w:t>
      </w:r>
    </w:p>
    <w:p>
      <w:pPr>
        <w:pStyle w:val="TextBody"/>
        <w:bidi w:val="0"/>
        <w:spacing w:before="240" w:after="0"/>
        <w:jc w:val="left"/>
        <w:rPr>
          <w:rFonts w:ascii="Times New Roman" w:hAnsi="Times New Roman"/>
          <w:sz w:val="20"/>
        </w:rPr>
      </w:pPr>
      <w:r>
        <w:rPr>
          <w:rFonts w:ascii="Times New Roman" w:hAnsi="Times New Roman"/>
          <w:sz w:val="20"/>
        </w:rPr>
        <w:t xml:space="preserve">Thank you for everything you do. </w:t>
      </w:r>
    </w:p>
    <w:p>
      <w:pPr>
        <w:pStyle w:val="TextBody"/>
        <w:bidi w:val="0"/>
        <w:spacing w:before="240" w:after="0"/>
        <w:jc w:val="left"/>
        <w:rPr>
          <w:rFonts w:ascii="Times New Roman" w:hAnsi="Times New Roman"/>
          <w:sz w:val="20"/>
        </w:rPr>
      </w:pPr>
      <w:r>
        <w:rPr>
          <w:rFonts w:ascii="Times New Roman" w:hAnsi="Times New Roman"/>
          <w:sz w:val="20"/>
        </w:rPr>
        <w:t xml:space="preserve">Mike and Polly and the B&amp;I Leadership Team </w:t>
      </w:r>
    </w:p>
    <w:p>
      <w:pPr>
        <w:pStyle w:val="TextBody"/>
        <w:bidi w:val="0"/>
        <w:spacing w:before="360" w:after="0"/>
        <w:jc w:val="left"/>
        <w:rPr>
          <w:rFonts w:ascii="Times New Roman" w:hAnsi="Times New Roman"/>
          <w:b/>
          <w:i/>
          <w:sz w:val="20"/>
        </w:rPr>
      </w:pPr>
      <w:r>
        <w:rPr>
          <w:rFonts w:ascii="Times New Roman" w:hAnsi="Times New Roman"/>
          <w:b/>
          <w:i/>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includes “forward-looking statements” within the meaning of the Private Securities Litigation Reform Act of 1995, including statements regarding the proposed transaction between CBIZ, Inc. (“CBIZ”) and Grant Thornton Advisors LLC and certain affiliates of Grant Thornton Advisors LLC (together, “Grant Thornton,” and any such transaction, the “proposed transaction”). In this context, forward-looking statements generally are identified by words such as “anticipates,” “intends,” “plans,” “seeks,” “believes,” “estimates,” “predicts,” “potential,” “expects,” “may,” “could,” “might,” “likely,” “will,” “should” or the negative thereof or variations thereon or similar terminology generally intended to identify forward-looking statements. All statements, other than historical facts, including, but not limited to, statements regarding the expected timing and structure of the proposed transaction, the ability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parties to complete the proposed transaction pursuant to the terms of the Agreement and Plan of Merger, dated as of July 28, 2026 (the “Merger Agreement”), if at all, the expected benefits of the proposed transaction, including future financial and operating results and strategic benefits, and the combined company’s plans, objectives, expectations and intentions, legal, economic and regulatory conditions, and any assumptions underlying any of the foregoing, are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on CBIZ’s and Grant Thornton’s current expectations with respect to the transactions contemplated by the Merger Agreement and are subject to risks and uncertainties, which may cause actual results to differ materially from CBIZ’s and Grant Thornton’s current expectations. Should one or more of these risks or uncertainties materialize, or should underlying assumptions prove incorrect, actual results may vary materially from those indicated or anticipated by such forward-looking statements. The inclusion of such statements should not be regarded as a representation that such plans, estimates or expectations will be achieved. Important factors that could cause actual results to differ materially from such plans, estimates or expectations include, among others, (1) that one or more closing conditions to the proposed transaction, including certain regulatory approvals, may not be satisfied or waived, on a timely basis or otherwise, or that the required approval by the shareholders of CBIZ may not be obtained; (2) the risk that the proposed transaction may not be completed on the terms or in the time frame expected by CBIZ and Grant Thornton, or at all; (3) unexpected costs, charges or expenses resulting from the proposed transaction; (4) uncertainty of the expected financial performance and results of operations of the combined company following completion of the proposed transaction; (5) failure to realize the anticipated benefits of the proposed transaction, including as a result of delay in completing the proposed transaction or integrating the businesses of CBIZ and Grant Thornton, on the expected timeframe or at all; (6) the ability of the combined company to implement its business strategy; (7) difficulties and delays in the combined company achieving revenue and cost synergies; (8) inability of the combined company to retain and hire key personnel; (9) the occurrence of any event that could give rise to termination of the proposed transaction; (10) the risk that shareholder litigation in connection with the proposed transaction or other litigation, settlements or investigations may affect the timing or completion of the proposed transaction or result in significant costs of defense, indemnification and liability; (11) evolving legal, regulatory and tax regimes; (12) changes in general economic, competitive, technological and/or industry-specific conditions affecting the businesses and industries in which CBIZ and Grant Thornton operate; (13) actions by third parties, including government agencies and rating agencies; (14) risks that any debt financing anticipated in connection with the proposed transaction is not obtained or that such financing cannot be obtained on the anticipated timing or terms or unexpected costs or expenses in connection therewith; (15) risks related to the disruption of management time from ongoing business operations due to the pendency of the proposed transaction, or other effects of the pendency of the proposed transaction on the relationship of any of the parties to the transaction with their employees, customers, partners, or other counterparties; (16) risks that any announcements relating to the proposed transaction could have adverse effects on the market price of CBIZ’s common stock, credit ratings, or operating results, and may have an adverse effect on the ability of CBIZ to retain and hire key personnel, retain customers, and maintain relationships with business partners, suppliers and customers; (17) the risk that the market price of CBIZ’s common stock may decline if the proposed transaction is not completed, and (18) the other risk factors described under the headings “Risk Factors,” “Management’s Discussion and Analysis of Financial Condition and Results of Operations,” and other sections of CBIZ’s Annual Report on Form 10-K filed with the Securities and Exchange Commission (“SEC”) on February 26, 2026, as amended on March 2, 2026 and any subsequent amendments, and subsequent filings with the SEC, including documents that will be filed with the SEC in connection with the proposed transaction. The foregoing list of important factors is not exclusive. </w:t>
      </w:r>
    </w:p>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statements speak only as of the date of this communication. Neither CBIZ nor Grant Thornton undertakes any obligation to update any forward-looking statements, whether as a result of new information or developments, future events or otherwise, except as required by law. Readers are cautioned not to place undue reliance on any of these forward-looking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Important Information About the Proposed Transaction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transaction and the solicitation of proxies for the proposed transaction, CBIZ intends to file relevant materials with the SEC, including a proxy statement on Schedule 14A (the “Proxy Statement”). The Proxy Statement will contain important information about the proposed transaction and related matters. This communication is not a substitute for the Proxy Statement or any other document that CBIZ may file with the SEC or send to its shareholders in connection with the proposed transaction. BEFORE MAKING ANY VOTING OR INVESTMENT DECISION, SHAREHOLDERS OF CBIZ ARE ADVISED TO READ THE PROXY STATEMENT (INCLUDING ANY AMENDMENTS OR SUPPLEMENTS THERETO) AND ANY OTHER DOCUMENTS FILED BY CBIZ WITH THE SEC IN CONNECTION WITH THE PROPOSED TRANSACTION CAREFULLY AND IN THEIR ENTIRETY BECAUSE THEY WILL CONTAIN IMPORTANT INFORMATION ABOUT THE PROPOSED TRANSACTION AND RELATED MATTERS. All such documents, when filed, may be obtained free of charge at the SEC’s website (http://www.sec.gov). These documents, once available, and CBIZ’s other filings with the SEC also will be available free of charge on CBIZ’s website at </w:t>
      </w:r>
      <w:r>
        <w:rPr>
          <w:rFonts w:ascii="Times New Roman" w:hAnsi="Times New Roman"/>
          <w:sz w:val="20"/>
          <w:u w:val="single"/>
        </w:rPr>
        <w:t>https://ir.cbiz.com/financial-information/sec-filings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CBIZ and its directors and executive officers may be deemed to be participants in the solicitation of proxies in respect of the proposed transaction. Information regarding the names of such directors and executive officers and their respective interests in CBIZ by security holdings or otherwise is set forth in CBIZ’s definitive proxy statement on Schedule 14A for its 2026 annual meeting of shareholders, filed with the SEC on April 2, 2026 (the “2026 Annual Proxy”). Please refer to the sections captioned “Executive Compensation,” “Summary Compensation Table,” “2025 Grants of Plan-Based Awards,” “Outstanding Equity Awards At 2025 Fiscal Year-End,” “Option Exercises And Stock Vested In 2025,” “2025 Non-Qualified Deferred Compensation,” “Potential Payments upon Termination or Change in Control,” “Director Compensation,” “2025 Director Compensation Table,” and “Security Ownership of Certain Beneficial Owners and Management” in the 2026 Annual Proxy. To the extent that certain CBIZ participants or their affiliates have acquired or disposed of security holdings since the “as of” date disclosed in the 2026 Annual Proxy, such transactions have been or will be reflected on Statements of Change in Ownership on Form 4 or amendments to beneficial ownership reports on Schedules 13D or 13G filed with the SEC. Such filings and the 2026 Annual Proxy are available free of charge on CBIZ’s website at https://ir.cbiz.com/financial-information/sec-filings or through the SEC’s website at www.sec.gov. Updated information regarding the identity of potential participants, and their direct or indirect interests, by security holdings or otherwise, will be set forth in CBIZ’s Proxy Statement and other materials to be filed with the SEC in connection with the proposed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1970</Words>
  <Characters>11259</Characters>
  <CharactersWithSpaces>13252</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