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erif" w:hAnsi="Times New Roman;serif"/>
          <w:b/>
          <w:color w:val="000000"/>
          <w:sz w:val="48"/>
        </w:rPr>
      </w:pPr>
      <w:r>
        <w:rPr>
          <w:rFonts w:ascii="Times New Roman;serif" w:hAnsi="Times New Roman;serif"/>
          <w:b/>
          <w:color w:val="000000"/>
          <w:sz w:val="48"/>
        </w:rPr>
        <w:t>FORM 8-K</w:t>
      </w:r>
    </w:p>
    <w:p>
      <w:pPr>
        <w:pStyle w:val="TextBody"/>
        <w:bidi w:val="0"/>
        <w:spacing w:lineRule="auto" w:line="288" w:before="120" w:after="6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April 29, 2026</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CBIZ, Inc.</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22-2769024</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5959 Rockside Woods, Blvd. N. Suite 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Independence, Ohio 44131</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216-447-9000</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 Applicable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180" w:after="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6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6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18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277" w:type="dxa"/>
        <w:jc w:val="left"/>
        <w:tblInd w:w="0" w:type="dxa"/>
        <w:tblLayout w:type="fixed"/>
        <w:tblCellMar>
          <w:top w:w="28" w:type="dxa"/>
          <w:left w:w="28" w:type="dxa"/>
          <w:bottom w:w="28" w:type="dxa"/>
          <w:right w:w="28" w:type="dxa"/>
        </w:tblCellMar>
      </w:tblPr>
      <w:tblGrid>
        <w:gridCol w:w="933"/>
        <w:gridCol w:w="818"/>
        <w:gridCol w:w="829"/>
        <w:gridCol w:w="109"/>
        <w:gridCol w:w="109"/>
        <w:gridCol w:w="109"/>
        <w:gridCol w:w="274"/>
        <w:gridCol w:w="274"/>
        <w:gridCol w:w="276"/>
        <w:gridCol w:w="109"/>
        <w:gridCol w:w="109"/>
        <w:gridCol w:w="109"/>
        <w:gridCol w:w="649"/>
        <w:gridCol w:w="649"/>
        <w:gridCol w:w="921"/>
      </w:tblGrid>
      <w:tr>
        <w:trPr/>
        <w:tc>
          <w:tcPr>
            <w:tcW w:w="93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CBZ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80" w:after="60"/>
        <w:jc w:val="left"/>
        <w:rPr>
          <w:color w:val="000000"/>
        </w:rPr>
      </w:pPr>
      <w:r>
        <w:rPr>
          <w:color w:val="000000"/>
        </w:rPr>
        <w:t>☐    </w:t>
      </w:r>
      <w:r>
        <w:rPr>
          <w:rFonts w:ascii="Times New Roman;serif" w:hAnsi="Times New Roman;serif"/>
          <w:b w:val="false"/>
          <w:color w:val="000000"/>
          <w:sz w:val="20"/>
        </w:rPr>
        <w:t>Emerging growth company</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29, 2026, CBIZ, Inc. (the "Company") issued a press release announcing its financial results for the three months ended March 31, 2026. A copy of the press release is furnished herewith as Exhibit 99.1. The exhibit contains, and may implicate, forward-looking statements regarding the Company and include cautionary statements identified important factors that could cause actual results to differ materially from those anticipated.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120"/>
        <w:ind w:left="0" w:right="0" w:hanging="720"/>
        <w:jc w:val="left"/>
        <w:rPr/>
      </w:pPr>
      <w:hyperlink w:anchor="q12026earningrelease.htm">
        <w:r>
          <w:rPr>
            <w:rStyle w:val="InternetLink"/>
            <w:rFonts w:ascii="Times New Roman;serif" w:hAnsi="Times New Roman;serif"/>
            <w:b w:val="false"/>
            <w:color w:val="0000FF"/>
            <w:sz w:val="20"/>
            <w:u w:val="single"/>
          </w:rPr>
          <w:t>99.1</w:t>
        </w:r>
      </w:hyperlink>
      <w:r>
        <w:rPr>
          <w:color w:val="000000"/>
        </w:rPr>
        <w:t>    </w:t>
      </w:r>
      <w:r>
        <w:rPr>
          <w:rFonts w:ascii="Times New Roman;serif" w:hAnsi="Times New Roman;serif"/>
          <w:b w:val="false"/>
          <w:color w:val="000000"/>
          <w:sz w:val="20"/>
        </w:rPr>
        <w:t>Press Release of CBIZ, Inc. dated April 29, 2026, announcing its financial results for the three months ended March 31,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April 29,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CBIZ, Inc.</w:t>
      </w:r>
    </w:p>
    <w:p>
      <w:pPr>
        <w:pStyle w:val="TextBody"/>
        <w:bidi w:val="0"/>
        <w:spacing w:before="0" w:after="0"/>
        <w:jc w:val="left"/>
        <w:rPr/>
      </w:pPr>
      <w:r>
        <w:rPr/>
      </w:r>
    </w:p>
    <w:tbl>
      <w:tblPr>
        <w:tblW w:w="2981"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588"/>
        <w:gridCol w:w="588"/>
        <w:gridCol w:w="833"/>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 Lakhia</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 Lakhia</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Exhibit 99.1</w:t>
      </w:r>
    </w:p>
    <w:p>
      <w:pPr>
        <w:pStyle w:val="TextBody"/>
        <w:bidi w:val="0"/>
        <w:spacing w:before="0" w:after="0"/>
        <w:jc w:val="left"/>
        <w:rPr/>
      </w:pPr>
      <w:r>
        <w:rPr/>
      </w:r>
    </w:p>
    <w:tbl>
      <w:tblPr>
        <w:tblW w:w="7630" w:type="dxa"/>
        <w:jc w:val="left"/>
        <w:tblInd w:w="0" w:type="dxa"/>
        <w:tblLayout w:type="fixed"/>
        <w:tblCellMar>
          <w:top w:w="28" w:type="dxa"/>
          <w:left w:w="28" w:type="dxa"/>
          <w:bottom w:w="28" w:type="dxa"/>
          <w:right w:w="28" w:type="dxa"/>
        </w:tblCellMar>
      </w:tblPr>
      <w:tblGrid>
        <w:gridCol w:w="1238"/>
        <w:gridCol w:w="1088"/>
        <w:gridCol w:w="1090"/>
        <w:gridCol w:w="109"/>
        <w:gridCol w:w="109"/>
        <w:gridCol w:w="109"/>
        <w:gridCol w:w="109"/>
        <w:gridCol w:w="109"/>
        <w:gridCol w:w="109"/>
        <w:gridCol w:w="109"/>
        <w:gridCol w:w="109"/>
        <w:gridCol w:w="109"/>
        <w:gridCol w:w="109"/>
        <w:gridCol w:w="109"/>
        <w:gridCol w:w="109"/>
        <w:gridCol w:w="851"/>
        <w:gridCol w:w="851"/>
        <w:gridCol w:w="1204"/>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05025" cy="600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05025" cy="600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62125" cy="6572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762125" cy="657225"/>
                          </a:xfrm>
                          <a:prstGeom prst="rect">
                            <a:avLst/>
                          </a:prstGeom>
                        </pic:spPr>
                      </pic:pic>
                    </a:graphicData>
                  </a:graphic>
                </wp:inline>
              </w:drawing>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FOR IMMEDIATE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 Narrow;sans-serif" w:hAnsi="Arial Narrow;sans-serif"/>
          <w:b/>
          <w:color w:val="000000"/>
          <w:sz w:val="28"/>
        </w:rPr>
      </w:pPr>
      <w:r>
        <w:rPr>
          <w:rFonts w:ascii="Arial Narrow;sans-serif" w:hAnsi="Arial Narrow;sans-serif"/>
          <w:b/>
          <w:color w:val="000000"/>
          <w:sz w:val="28"/>
        </w:rPr>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CBIZ Reports First-Quarter 2026 Financial Results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YoY Growth in Revenue, Earnings, and Cash Flow</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Increased Adjusted Diluted EPS Outlook for Completed Share Repurchases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 xml:space="preserve">Executing on Capital Allocation Priorities </w:t>
      </w:r>
    </w:p>
    <w:p>
      <w:pPr>
        <w:pStyle w:val="TextBody"/>
        <w:bidi w:val="0"/>
        <w:spacing w:before="0" w:after="0"/>
        <w:jc w:val="center"/>
        <w:rPr/>
      </w:pPr>
      <w:r>
        <w:rPr/>
      </w:r>
    </w:p>
    <w:p>
      <w:pPr>
        <w:pStyle w:val="TextBody"/>
        <w:bidi w:val="0"/>
        <w:spacing w:lineRule="auto" w:line="288" w:before="240" w:after="60"/>
        <w:jc w:val="left"/>
        <w:rPr>
          <w:rFonts w:ascii="Arial Narrow;sans-serif" w:hAnsi="Arial Narrow;sans-serif"/>
          <w:b/>
          <w:color w:val="000000"/>
          <w:sz w:val="24"/>
        </w:rPr>
      </w:pPr>
      <w:r>
        <w:rPr>
          <w:rFonts w:ascii="Arial Narrow;sans-serif" w:hAnsi="Arial Narrow;sans-serif"/>
          <w:b/>
          <w:color w:val="000000"/>
          <w:sz w:val="24"/>
        </w:rPr>
        <w:t xml:space="preserve">First-Quarter Financial Highlights: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4"/>
        </w:rPr>
        <w:t>Total revenue of $849M, up 1.3%; Financial Services revenue up 2.1%</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4"/>
        </w:rPr>
        <w:t xml:space="preserve">Net income of $162M, up 31.6%; GAAP EPS of $2.63, up 37.7%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4"/>
        </w:rPr>
        <w:t>Adjusted EBITDA of $244M, up 1.5%; Adjusted diluted EPS of $2.50, up 7.3%</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4"/>
        </w:rPr>
        <w:t>Operating cash flow up 71.1%; Free cash flow up 69.5%</w:t>
      </w:r>
      <w:r>
        <w:rPr>
          <w:color w:val="000000"/>
        </w:rPr>
        <w:t xml:space="preserve">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4"/>
        </w:rPr>
        <w:t>Repurchased ~2M shares for ~$63M through end of April; net leverage decreased 0.5x YoY</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4"/>
        </w:rPr>
        <w:t>2026 outlook continues to contemplate low to mid-single digit revenue growth, improved earnings and strong free cash flow conversion over prior year</w:t>
      </w:r>
    </w:p>
    <w:p>
      <w:pPr>
        <w:pStyle w:val="TextBody"/>
        <w:bidi w:val="0"/>
        <w:spacing w:lineRule="auto" w:line="288" w:before="120" w:after="60"/>
        <w:jc w:val="both"/>
        <w:rPr>
          <w:rFonts w:ascii="Arial Narrow;sans-serif" w:hAnsi="Arial Narrow;sans-serif"/>
          <w:b w:val="false"/>
          <w:color w:val="000000"/>
          <w:sz w:val="24"/>
        </w:rPr>
      </w:pPr>
      <w:r>
        <w:rPr>
          <w:rFonts w:ascii="Arial Narrow;sans-serif" w:hAnsi="Arial Narrow;sans-serif"/>
          <w:b w:val="false"/>
          <w:color w:val="000000"/>
          <w:sz w:val="24"/>
        </w:rPr>
        <w:t>CLEVELAND (April 29, 2026) – CBIZ, Inc., (NYSE: CBZ) (“CBIZ” or the “Company”), a leading national professional services advisor, today announced first quarter results for the period ended March 31, 2026.</w:t>
      </w:r>
    </w:p>
    <w:p>
      <w:pPr>
        <w:pStyle w:val="TextBody"/>
        <w:bidi w:val="0"/>
        <w:spacing w:lineRule="auto" w:line="288" w:before="120" w:after="60"/>
        <w:jc w:val="both"/>
        <w:rPr>
          <w:rFonts w:ascii="Arial Narrow;sans-serif" w:hAnsi="Arial Narrow;sans-serif"/>
          <w:b/>
          <w:color w:val="000000"/>
          <w:sz w:val="24"/>
          <w:u w:val="single"/>
        </w:rPr>
      </w:pPr>
      <w:r>
        <w:rPr>
          <w:rFonts w:ascii="Arial Narrow;sans-serif" w:hAnsi="Arial Narrow;sans-serif"/>
          <w:b/>
          <w:color w:val="000000"/>
          <w:sz w:val="24"/>
          <w:u w:val="single"/>
        </w:rPr>
        <w:t>Management Commentary:</w:t>
      </w:r>
    </w:p>
    <w:p>
      <w:pPr>
        <w:pStyle w:val="TextBody"/>
        <w:bidi w:val="0"/>
        <w:spacing w:lineRule="auto" w:line="288" w:before="0" w:after="0"/>
        <w:jc w:val="both"/>
        <w:rPr>
          <w:rFonts w:ascii="Arial Narrow;sans-serif" w:hAnsi="Arial Narrow;sans-serif"/>
          <w:b w:val="false"/>
          <w:color w:val="000000"/>
          <w:sz w:val="24"/>
        </w:rPr>
      </w:pPr>
      <w:r>
        <w:rPr>
          <w:rFonts w:ascii="Arial Narrow;sans-serif" w:hAnsi="Arial Narrow;sans-serif"/>
          <w:b w:val="false"/>
          <w:color w:val="000000"/>
          <w:sz w:val="24"/>
        </w:rPr>
        <w:t>Jerry Grisko, CBIZ President and Chief Executive Officer, said, “We entered 2026 with clear strategic priorities and executed with discipline in the first quarter. We achieved year-over-year growth in revenue, earnings, and free cash flow, while returning capital to shareholders through highly accretive share repurchases. Our organic growth improved throughout the quarter and is up sequentially compared to the fourth quarter. Reflecting our solid performance and the impact of the share repurchases, we are increasing our adjusted EPS outlook and reaffirming our other previously communicated targets.”</w:t>
      </w:r>
    </w:p>
    <w:p>
      <w:pPr>
        <w:pStyle w:val="TextBody"/>
        <w:bidi w:val="0"/>
        <w:spacing w:lineRule="auto" w:line="288" w:before="120" w:after="283"/>
        <w:jc w:val="both"/>
        <w:rPr>
          <w:rFonts w:ascii="Arial Narrow;sans-serif" w:hAnsi="Arial Narrow;sans-serif"/>
          <w:b w:val="false"/>
          <w:color w:val="000000"/>
          <w:sz w:val="24"/>
        </w:rPr>
      </w:pPr>
      <w:r>
        <w:rPr>
          <w:rFonts w:ascii="Arial Narrow;sans-serif" w:hAnsi="Arial Narrow;sans-serif"/>
          <w:b w:val="false"/>
          <w:color w:val="000000"/>
          <w:sz w:val="24"/>
        </w:rPr>
        <w:t>Grisko continued, “As we look ahead, we are encouraged by the momentum building across the business and the strong performance of our teams during our first busy season as a fully integrated organization. We remain focused on investing in our people, strengthening our brand, deepening our industry specialization, and enhancing the breadth and depth of services provided to our clients. We believe our strategy and continued execution position CBIZ to drive attractive growth and deliver long-term value for our clients and shareholders.”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76300"/>
                <wp:effectExtent l="0" t="0" r="0" b="0"/>
                <wp:wrapNone/>
                <wp:docPr id="6" name="Frame4"/>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1</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1</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lineRule="auto" w:line="276" w:before="240" w:after="60"/>
        <w:jc w:val="both"/>
        <w:rPr>
          <w:rFonts w:ascii="Arial Narrow;sans-serif" w:hAnsi="Arial Narrow;sans-serif"/>
          <w:b/>
          <w:color w:val="000000"/>
          <w:sz w:val="24"/>
          <w:u w:val="single"/>
        </w:rPr>
      </w:pPr>
      <w:r>
        <w:rPr>
          <w:rFonts w:ascii="Arial Narrow;sans-serif" w:hAnsi="Arial Narrow;sans-serif"/>
          <w:b/>
          <w:color w:val="000000"/>
          <w:sz w:val="24"/>
          <w:u w:val="single"/>
        </w:rPr>
        <w:t>Business Highlights:</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4"/>
        </w:rPr>
        <w:t>Named a Top Workplace in the nation by USA Today for the sixth consecutive year</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4"/>
        </w:rPr>
        <w:t xml:space="preserve">Elevated Peter Scavuzzo, one of the leading voices on technology and AI in our industries, to Chief Information and Technology Officer to bring Enterprise IT, Business Transformation and Innovation all under one strategic leader </w:t>
      </w:r>
    </w:p>
    <w:p>
      <w:pPr>
        <w:pStyle w:val="TextBody"/>
        <w:bidi w:val="0"/>
        <w:spacing w:lineRule="auto" w:line="276" w:before="0" w:after="0"/>
        <w:ind w:left="0" w:right="0" w:hanging="360"/>
        <w:jc w:val="both"/>
        <w:rPr/>
      </w:pPr>
      <w:r>
        <w:rPr>
          <w:color w:val="000000"/>
        </w:rPr>
        <w:t>•</w:t>
      </w:r>
      <w:r>
        <w:rPr>
          <w:rFonts w:ascii="Arial Narrow;sans-serif" w:hAnsi="Arial Narrow;sans-serif"/>
          <w:b w:val="false"/>
          <w:color w:val="000000"/>
          <w:sz w:val="24"/>
        </w:rPr>
        <w:t>CBIZ team members continue to be recognized by the market as among the most highly regarded leaders in a number of industry groups, including Construction, Real Estate, Consumer and Industrial Products, Tech and Life Science and Private Equity</w:t>
      </w:r>
    </w:p>
    <w:p>
      <w:pPr>
        <w:pStyle w:val="TextBody"/>
        <w:bidi w:val="0"/>
        <w:spacing w:lineRule="auto" w:line="276" w:before="0" w:after="0"/>
        <w:ind w:left="0" w:right="0" w:hanging="360"/>
        <w:jc w:val="both"/>
        <w:rPr/>
      </w:pPr>
      <w:r>
        <w:rPr>
          <w:color w:val="000000"/>
        </w:rPr>
        <w:t>•</w:t>
      </w:r>
      <w:r>
        <w:rPr>
          <w:rFonts w:ascii="Arial Narrow;sans-serif" w:hAnsi="Arial Narrow;sans-serif"/>
          <w:b w:val="false"/>
          <w:color w:val="000000"/>
          <w:sz w:val="24"/>
        </w:rPr>
        <w:t>Attracted new senior professional hires with strong retention levels across the business</w:t>
      </w:r>
    </w:p>
    <w:p>
      <w:pPr>
        <w:pStyle w:val="TextBody"/>
        <w:bidi w:val="0"/>
        <w:spacing w:lineRule="auto" w:line="268" w:before="0" w:after="0"/>
        <w:ind w:left="0" w:right="0" w:hanging="360"/>
        <w:jc w:val="both"/>
        <w:rPr/>
      </w:pPr>
      <w:r>
        <w:rPr>
          <w:color w:val="000000"/>
        </w:rPr>
        <w:t>•</w:t>
      </w:r>
      <w:r>
        <w:rPr>
          <w:rFonts w:ascii="Arial Narrow;sans-serif" w:hAnsi="Arial Narrow;sans-serif"/>
          <w:b w:val="false"/>
          <w:color w:val="000000"/>
          <w:sz w:val="24"/>
        </w:rPr>
        <w:t xml:space="preserve">Driving cross-serve and new logo wins through industry groups, increasing share of wallet and pipeline conversion across key verticals, such as Private Equity, Construction and Alternative Investments </w:t>
      </w:r>
    </w:p>
    <w:p>
      <w:pPr>
        <w:pStyle w:val="TextBody"/>
        <w:bidi w:val="0"/>
        <w:spacing w:lineRule="auto" w:line="268" w:before="0" w:after="0"/>
        <w:ind w:left="0" w:right="0" w:hanging="360"/>
        <w:jc w:val="both"/>
        <w:rPr/>
      </w:pPr>
      <w:r>
        <w:rPr>
          <w:color w:val="000000"/>
        </w:rPr>
        <w:t>•</w:t>
      </w:r>
      <w:r>
        <w:rPr>
          <w:rFonts w:ascii="Arial Narrow;sans-serif" w:hAnsi="Arial Narrow;sans-serif"/>
          <w:b w:val="false"/>
          <w:color w:val="000000"/>
          <w:sz w:val="24"/>
        </w:rPr>
        <w:t>Expanding breadth and depth of services through integrated delivery, collaborating across practices and geographies to support large, multi-service engagements, including cross-border tax, transaction advisory and technology-led work</w:t>
      </w:r>
    </w:p>
    <w:p>
      <w:pPr>
        <w:pStyle w:val="TextBody"/>
        <w:bidi w:val="0"/>
        <w:spacing w:lineRule="auto" w:line="276" w:before="0" w:after="0"/>
        <w:ind w:left="0" w:right="0" w:hanging="360"/>
        <w:jc w:val="left"/>
        <w:rPr/>
      </w:pPr>
      <w:r>
        <w:rPr>
          <w:color w:val="000000"/>
        </w:rPr>
        <w:t>•</w:t>
      </w:r>
      <w:r>
        <w:rPr>
          <w:rFonts w:ascii="Arial Narrow;sans-serif" w:hAnsi="Arial Narrow;sans-serif"/>
          <w:b w:val="false"/>
          <w:color w:val="000000"/>
          <w:sz w:val="24"/>
        </w:rPr>
        <w:t>Achieved meaningful progress in deploying an agentic AI platform to drive productivity, consistency, and quality across operations</w:t>
      </w:r>
    </w:p>
    <w:p>
      <w:pPr>
        <w:pStyle w:val="TextBody"/>
        <w:bidi w:val="0"/>
        <w:spacing w:lineRule="auto" w:line="276" w:before="0" w:after="0"/>
        <w:ind w:left="0" w:right="0" w:hanging="360"/>
        <w:jc w:val="both"/>
        <w:rPr/>
      </w:pPr>
      <w:r>
        <w:rPr>
          <w:color w:val="000000"/>
        </w:rPr>
        <w:t>•</w:t>
      </w:r>
      <w:r>
        <w:rPr>
          <w:rFonts w:ascii="Arial Narrow;sans-serif" w:hAnsi="Arial Narrow;sans-serif"/>
          <w:b w:val="false"/>
          <w:color w:val="000000"/>
          <w:sz w:val="24"/>
        </w:rPr>
        <w:t>Accelerating our access to global capabilities to expand capacity and improve efficiency; on track to achieve 2026 target of 10% of total tax and attest hours completed by global resources</w:t>
      </w:r>
    </w:p>
    <w:p>
      <w:pPr>
        <w:pStyle w:val="TextBody"/>
        <w:bidi w:val="0"/>
        <w:spacing w:lineRule="auto" w:line="276" w:before="0" w:after="0"/>
        <w:ind w:left="0" w:right="0" w:hanging="360"/>
        <w:jc w:val="both"/>
        <w:rPr/>
      </w:pPr>
      <w:r>
        <w:rPr>
          <w:color w:val="000000"/>
        </w:rPr>
        <w:t>•</w:t>
      </w:r>
      <w:r>
        <w:rPr>
          <w:rFonts w:ascii="Arial Narrow;sans-serif" w:hAnsi="Arial Narrow;sans-serif"/>
          <w:b w:val="false"/>
          <w:color w:val="000000"/>
          <w:sz w:val="24"/>
        </w:rPr>
        <w:t>Advanced integration milestones during the quarter and on track to realize $12M in additional operational synergies in 2026 - continue to expect greater than $50M cumulatively</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4"/>
        </w:rPr>
        <w:t>Launched spring national brand campaign, featuring targeted, nationally televised ads across key markets to raise brand awareness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60"/>
        <w:jc w:val="both"/>
        <w:rPr>
          <w:rFonts w:ascii="Arial Narrow;sans-serif" w:hAnsi="Arial Narrow;sans-serif"/>
          <w:b/>
          <w:color w:val="000000"/>
          <w:sz w:val="24"/>
          <w:u w:val="single"/>
        </w:rPr>
      </w:pPr>
      <w:r>
        <w:rPr>
          <w:rFonts w:ascii="Arial Narrow;sans-serif" w:hAnsi="Arial Narrow;sans-serif"/>
          <w:b/>
          <w:color w:val="000000"/>
          <w:sz w:val="24"/>
          <w:u w:val="single"/>
        </w:rPr>
        <w:t>2026 Financial Outlook:</w:t>
      </w:r>
    </w:p>
    <w:tbl>
      <w:tblPr>
        <w:tblW w:w="6404" w:type="dxa"/>
        <w:jc w:val="left"/>
        <w:tblInd w:w="0" w:type="dxa"/>
        <w:tblLayout w:type="fixed"/>
        <w:tblCellMar>
          <w:top w:w="28" w:type="dxa"/>
          <w:left w:w="28" w:type="dxa"/>
          <w:bottom w:w="28" w:type="dxa"/>
          <w:right w:w="28" w:type="dxa"/>
        </w:tblCellMar>
      </w:tblPr>
      <w:tblGrid>
        <w:gridCol w:w="726"/>
        <w:gridCol w:w="640"/>
        <w:gridCol w:w="644"/>
        <w:gridCol w:w="734"/>
        <w:gridCol w:w="734"/>
        <w:gridCol w:w="736"/>
        <w:gridCol w:w="641"/>
        <w:gridCol w:w="641"/>
        <w:gridCol w:w="90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32" w:before="0" w:after="0"/>
              <w:jc w:val="center"/>
              <w:rPr>
                <w:rFonts w:ascii="Arial Narrow;sans-serif" w:hAnsi="Arial Narrow;sans-serif"/>
                <w:b/>
                <w:color w:val="000000"/>
                <w:sz w:val="24"/>
                <w:u w:val="single"/>
              </w:rPr>
            </w:pPr>
            <w:r>
              <w:rPr>
                <w:rFonts w:ascii="Arial Narrow;sans-serif" w:hAnsi="Arial Narrow;sans-serif"/>
                <w:b/>
                <w:color w:val="000000"/>
                <w:sz w:val="24"/>
                <w:u w:val="single"/>
              </w:rPr>
              <w:t>Metric</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32" w:before="0" w:after="0"/>
              <w:jc w:val="center"/>
              <w:rPr>
                <w:rFonts w:ascii="Arial Narrow;sans-serif" w:hAnsi="Arial Narrow;sans-serif"/>
                <w:b/>
                <w:color w:val="000000"/>
                <w:sz w:val="24"/>
                <w:u w:val="single"/>
              </w:rPr>
            </w:pPr>
            <w:r>
              <w:rPr>
                <w:rFonts w:ascii="Arial Narrow;sans-serif" w:hAnsi="Arial Narrow;sans-serif"/>
                <w:b/>
                <w:color w:val="000000"/>
                <w:sz w:val="24"/>
                <w:u w:val="single"/>
              </w:rPr>
              <w:t>Previous 2026 Outlook</w:t>
            </w:r>
          </w:p>
        </w:tc>
        <w:tc>
          <w:tcPr>
            <w:tcW w:w="21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32" w:before="0" w:after="0"/>
              <w:jc w:val="center"/>
              <w:rPr>
                <w:rFonts w:ascii="Arial Narrow;sans-serif" w:hAnsi="Arial Narrow;sans-serif"/>
                <w:b/>
                <w:color w:val="000000"/>
                <w:sz w:val="24"/>
                <w:u w:val="single"/>
              </w:rPr>
            </w:pPr>
            <w:r>
              <w:rPr>
                <w:rFonts w:ascii="Arial Narrow;sans-serif" w:hAnsi="Arial Narrow;sans-serif"/>
                <w:b/>
                <w:color w:val="000000"/>
                <w:sz w:val="24"/>
                <w:u w:val="single"/>
              </w:rPr>
              <w:t>Updated 2026 Outlook</w:t>
            </w:r>
          </w:p>
        </w:tc>
      </w:tr>
      <w:tr>
        <w:trPr/>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32" w:before="0" w:after="0"/>
              <w:jc w:val="center"/>
              <w:rPr>
                <w:rFonts w:ascii="Arial Narrow;sans-serif" w:hAnsi="Arial Narrow;sans-serif"/>
                <w:b w:val="false"/>
                <w:color w:val="000000"/>
                <w:sz w:val="24"/>
              </w:rPr>
            </w:pPr>
            <w:r>
              <w:rPr>
                <w:rFonts w:ascii="Arial Narrow;sans-serif" w:hAnsi="Arial Narrow;sans-serif"/>
                <w:b w:val="false"/>
                <w:color w:val="000000"/>
                <w:sz w:val="24"/>
              </w:rPr>
              <w:t>Total Revenue</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32" w:before="0" w:after="0"/>
              <w:jc w:val="center"/>
              <w:rPr>
                <w:rFonts w:ascii="Arial Narrow;sans-serif" w:hAnsi="Arial Narrow;sans-serif"/>
                <w:b w:val="false"/>
                <w:color w:val="000000"/>
                <w:sz w:val="24"/>
              </w:rPr>
            </w:pPr>
            <w:r>
              <w:rPr>
                <w:rFonts w:ascii="Arial Narrow;sans-serif" w:hAnsi="Arial Narrow;sans-serif"/>
                <w:b w:val="false"/>
                <w:color w:val="000000"/>
                <w:sz w:val="24"/>
              </w:rPr>
              <w:t>~$2.8B to $2.9B</w:t>
            </w:r>
          </w:p>
        </w:tc>
        <w:tc>
          <w:tcPr>
            <w:tcW w:w="21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32" w:before="0" w:after="0"/>
              <w:jc w:val="center"/>
              <w:rPr>
                <w:rFonts w:ascii="Arial Narrow;sans-serif" w:hAnsi="Arial Narrow;sans-serif"/>
                <w:b/>
                <w:color w:val="000000"/>
                <w:sz w:val="24"/>
              </w:rPr>
            </w:pPr>
            <w:r>
              <w:rPr>
                <w:rFonts w:ascii="Arial Narrow;sans-serif" w:hAnsi="Arial Narrow;sans-serif"/>
                <w:b/>
                <w:color w:val="000000"/>
                <w:sz w:val="24"/>
              </w:rPr>
              <w:t>~$2.8B to $2.9B</w:t>
            </w:r>
          </w:p>
        </w:tc>
      </w:tr>
      <w:tr>
        <w:trPr/>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32" w:before="0" w:after="0"/>
              <w:jc w:val="center"/>
              <w:rPr>
                <w:rFonts w:ascii="Arial Narrow;sans-serif" w:hAnsi="Arial Narrow;sans-serif"/>
                <w:b w:val="false"/>
                <w:color w:val="000000"/>
                <w:sz w:val="24"/>
              </w:rPr>
            </w:pPr>
            <w:r>
              <w:rPr>
                <w:rFonts w:ascii="Arial Narrow;sans-serif" w:hAnsi="Arial Narrow;sans-serif"/>
                <w:b w:val="false"/>
                <w:color w:val="000000"/>
                <w:sz w:val="24"/>
              </w:rPr>
              <w:t>Adjusted EBITDA</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32" w:before="0" w:after="0"/>
              <w:jc w:val="center"/>
              <w:rPr>
                <w:rFonts w:ascii="Arial Narrow;sans-serif" w:hAnsi="Arial Narrow;sans-serif"/>
                <w:b w:val="false"/>
                <w:color w:val="000000"/>
                <w:sz w:val="24"/>
              </w:rPr>
            </w:pPr>
            <w:r>
              <w:rPr>
                <w:rFonts w:ascii="Arial Narrow;sans-serif" w:hAnsi="Arial Narrow;sans-serif"/>
                <w:b w:val="false"/>
                <w:color w:val="000000"/>
                <w:sz w:val="24"/>
              </w:rPr>
              <w:t>~$450M to $460M</w:t>
            </w:r>
          </w:p>
        </w:tc>
        <w:tc>
          <w:tcPr>
            <w:tcW w:w="21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32" w:before="0" w:after="0"/>
              <w:jc w:val="center"/>
              <w:rPr>
                <w:rFonts w:ascii="Arial Narrow;sans-serif" w:hAnsi="Arial Narrow;sans-serif"/>
                <w:b/>
                <w:color w:val="000000"/>
                <w:sz w:val="24"/>
              </w:rPr>
            </w:pPr>
            <w:r>
              <w:rPr>
                <w:rFonts w:ascii="Arial Narrow;sans-serif" w:hAnsi="Arial Narrow;sans-serif"/>
                <w:b/>
                <w:color w:val="000000"/>
                <w:sz w:val="24"/>
              </w:rPr>
              <w:t>~$465M to $475M</w:t>
            </w:r>
          </w:p>
        </w:tc>
      </w:tr>
      <w:tr>
        <w:trPr/>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32" w:before="0" w:after="0"/>
              <w:jc w:val="center"/>
              <w:rPr>
                <w:rFonts w:ascii="Arial Narrow;sans-serif" w:hAnsi="Arial Narrow;sans-serif"/>
                <w:b w:val="false"/>
                <w:color w:val="000000"/>
                <w:sz w:val="24"/>
              </w:rPr>
            </w:pPr>
            <w:r>
              <w:rPr>
                <w:rFonts w:ascii="Arial Narrow;sans-serif" w:hAnsi="Arial Narrow;sans-serif"/>
                <w:b w:val="false"/>
                <w:color w:val="000000"/>
                <w:sz w:val="24"/>
              </w:rPr>
              <w:t>Adjusted Diluted EPS</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32" w:before="0" w:after="0"/>
              <w:jc w:val="center"/>
              <w:rPr>
                <w:rFonts w:ascii="Arial Narrow;sans-serif" w:hAnsi="Arial Narrow;sans-serif"/>
                <w:b w:val="false"/>
                <w:color w:val="000000"/>
                <w:sz w:val="24"/>
              </w:rPr>
            </w:pPr>
            <w:r>
              <w:rPr>
                <w:rFonts w:ascii="Arial Narrow;sans-serif" w:hAnsi="Arial Narrow;sans-serif"/>
                <w:b w:val="false"/>
                <w:color w:val="000000"/>
                <w:sz w:val="24"/>
              </w:rPr>
              <w:t>~$3.75 to $3.85</w:t>
            </w:r>
          </w:p>
        </w:tc>
        <w:tc>
          <w:tcPr>
            <w:tcW w:w="21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32" w:before="0" w:after="0"/>
              <w:jc w:val="center"/>
              <w:rPr>
                <w:rFonts w:ascii="Arial Narrow;sans-serif" w:hAnsi="Arial Narrow;sans-serif"/>
                <w:b/>
                <w:color w:val="000000"/>
                <w:sz w:val="24"/>
              </w:rPr>
            </w:pPr>
            <w:r>
              <w:rPr>
                <w:rFonts w:ascii="Arial Narrow;sans-serif" w:hAnsi="Arial Narrow;sans-serif"/>
                <w:b/>
                <w:color w:val="000000"/>
                <w:sz w:val="24"/>
              </w:rPr>
              <w:t>~$4.00 to $4.10</w:t>
            </w:r>
          </w:p>
        </w:tc>
      </w:tr>
      <w:tr>
        <w:trPr/>
        <w:tc>
          <w:tcPr>
            <w:tcW w:w="20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32" w:before="0" w:after="0"/>
              <w:jc w:val="center"/>
              <w:rPr>
                <w:rFonts w:ascii="Arial Narrow;sans-serif" w:hAnsi="Arial Narrow;sans-serif"/>
                <w:b w:val="false"/>
                <w:color w:val="000000"/>
                <w:sz w:val="24"/>
              </w:rPr>
            </w:pPr>
            <w:r>
              <w:rPr>
                <w:rFonts w:ascii="Arial Narrow;sans-serif" w:hAnsi="Arial Narrow;sans-serif"/>
                <w:b w:val="false"/>
                <w:color w:val="000000"/>
                <w:sz w:val="24"/>
              </w:rPr>
              <w:t>Free Cash Flow</w:t>
            </w:r>
          </w:p>
        </w:tc>
        <w:tc>
          <w:tcPr>
            <w:tcW w:w="2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32" w:before="0" w:after="0"/>
              <w:jc w:val="center"/>
              <w:rPr>
                <w:rFonts w:ascii="Arial Narrow;sans-serif" w:hAnsi="Arial Narrow;sans-serif"/>
                <w:b w:val="false"/>
                <w:color w:val="000000"/>
                <w:sz w:val="24"/>
              </w:rPr>
            </w:pPr>
            <w:r>
              <w:rPr>
                <w:rFonts w:ascii="Arial Narrow;sans-serif" w:hAnsi="Arial Narrow;sans-serif"/>
                <w:b w:val="false"/>
                <w:color w:val="000000"/>
                <w:sz w:val="24"/>
              </w:rPr>
              <w:t>~$270M to $290M</w:t>
            </w:r>
          </w:p>
        </w:tc>
        <w:tc>
          <w:tcPr>
            <w:tcW w:w="21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32" w:before="0" w:after="0"/>
              <w:jc w:val="center"/>
              <w:rPr>
                <w:rFonts w:ascii="Arial Narrow;sans-serif" w:hAnsi="Arial Narrow;sans-serif"/>
                <w:b/>
                <w:color w:val="000000"/>
                <w:sz w:val="24"/>
              </w:rPr>
            </w:pPr>
            <w:r>
              <w:rPr>
                <w:rFonts w:ascii="Arial Narrow;sans-serif" w:hAnsi="Arial Narrow;sans-serif"/>
                <w:b/>
                <w:color w:val="000000"/>
                <w:sz w:val="24"/>
              </w:rPr>
              <w:t>~$270M to $290M</w:t>
            </w:r>
          </w:p>
        </w:tc>
      </w:tr>
    </w:tbl>
    <w:p>
      <w:pPr>
        <w:pStyle w:val="TextBody"/>
        <w:bidi w:val="0"/>
        <w:spacing w:lineRule="auto" w:line="276" w:before="240" w:after="60"/>
        <w:jc w:val="left"/>
        <w:rPr>
          <w:rFonts w:ascii="Arial Narrow;sans-serif" w:hAnsi="Arial Narrow;sans-serif"/>
          <w:b/>
          <w:color w:val="000000"/>
          <w:sz w:val="24"/>
          <w:u w:val="single"/>
        </w:rPr>
      </w:pPr>
      <w:r>
        <w:rPr>
          <w:rFonts w:ascii="Arial Narrow;sans-serif" w:hAnsi="Arial Narrow;sans-serif"/>
          <w:b/>
          <w:color w:val="000000"/>
          <w:sz w:val="24"/>
          <w:u w:val="single"/>
        </w:rPr>
        <w:t>2026 Financial Outlook Additional Support:</w:t>
      </w:r>
    </w:p>
    <w:p>
      <w:pPr>
        <w:pStyle w:val="TextBody"/>
        <w:bidi w:val="0"/>
        <w:spacing w:lineRule="auto" w:line="276" w:before="0" w:after="0"/>
        <w:ind w:left="0" w:right="0" w:hanging="360"/>
        <w:jc w:val="both"/>
        <w:rPr/>
      </w:pPr>
      <w:r>
        <w:rPr>
          <w:color w:val="000000"/>
        </w:rPr>
        <w:t>•</w:t>
      </w:r>
      <w:r>
        <w:rPr>
          <w:rFonts w:ascii="Arial Narrow;sans-serif" w:hAnsi="Arial Narrow;sans-serif"/>
          <w:b w:val="false"/>
          <w:color w:val="000000"/>
          <w:sz w:val="24"/>
        </w:rPr>
        <w:t>Revenue outlook represents approximately 2% to 5% growth</w:t>
      </w:r>
    </w:p>
    <w:p>
      <w:pPr>
        <w:pStyle w:val="TextBody"/>
        <w:bidi w:val="0"/>
        <w:spacing w:lineRule="auto" w:line="276" w:before="0" w:after="0"/>
        <w:ind w:left="0" w:right="0" w:hanging="360"/>
        <w:jc w:val="both"/>
        <w:rPr/>
      </w:pPr>
      <w:r>
        <w:rPr>
          <w:color w:val="000000"/>
        </w:rPr>
        <w:t>•</w:t>
      </w:r>
      <w:r>
        <w:rPr>
          <w:rFonts w:ascii="Arial Narrow;sans-serif" w:hAnsi="Arial Narrow;sans-serif"/>
          <w:b w:val="false"/>
          <w:color w:val="000000"/>
          <w:sz w:val="24"/>
        </w:rPr>
        <w:t>Increased Adjusted EBITDA and Adjusted Diluted EPS outlook ranges to reflect a stock-based compensation adjustment and share repurchases through end of April</w:t>
      </w:r>
    </w:p>
    <w:p>
      <w:pPr>
        <w:pStyle w:val="TextBody"/>
        <w:bidi w:val="0"/>
        <w:spacing w:lineRule="auto" w:line="276" w:before="0" w:after="0"/>
        <w:ind w:left="0" w:right="0" w:hanging="360"/>
        <w:jc w:val="both"/>
        <w:rPr/>
      </w:pPr>
      <w:r>
        <w:rPr>
          <w:color w:val="000000"/>
        </w:rPr>
        <w:t>•</w:t>
      </w:r>
      <w:r>
        <w:rPr>
          <w:rFonts w:ascii="Arial Narrow;sans-serif" w:hAnsi="Arial Narrow;sans-serif"/>
          <w:b w:val="false"/>
          <w:color w:val="000000"/>
          <w:sz w:val="24"/>
        </w:rPr>
        <w:t xml:space="preserve">Effective tax rate of approximately 28.5% </w:t>
      </w:r>
    </w:p>
    <w:p>
      <w:pPr>
        <w:pStyle w:val="TextBody"/>
        <w:bidi w:val="0"/>
        <w:spacing w:lineRule="auto" w:line="276" w:before="0" w:after="0"/>
        <w:ind w:left="0" w:right="0" w:hanging="360"/>
        <w:jc w:val="both"/>
        <w:rPr/>
      </w:pPr>
      <w:r>
        <w:rPr>
          <w:color w:val="000000"/>
        </w:rPr>
        <w:t>•</w:t>
      </w:r>
      <w:r>
        <w:rPr>
          <w:rFonts w:ascii="Arial Narrow;sans-serif" w:hAnsi="Arial Narrow;sans-serif"/>
          <w:b w:val="false"/>
          <w:color w:val="000000"/>
          <w:sz w:val="24"/>
        </w:rPr>
        <w:t>Weighted average fully diluted share count of approximately 60.5 million shares, down from approximately 62 million shares in previous outlook</w:t>
      </w:r>
    </w:p>
    <w:p>
      <w:pPr>
        <w:pStyle w:val="TextBody"/>
        <w:bidi w:val="0"/>
        <w:spacing w:lineRule="auto" w:line="276" w:before="0" w:after="0"/>
        <w:ind w:left="0" w:right="0" w:hanging="360"/>
        <w:jc w:val="both"/>
        <w:rPr/>
      </w:pPr>
      <w:r>
        <w:rPr>
          <w:color w:val="000000"/>
        </w:rPr>
        <w:t>•</w:t>
      </w:r>
      <w:r>
        <w:rPr>
          <w:rFonts w:ascii="Arial Narrow;sans-serif" w:hAnsi="Arial Narrow;sans-serif"/>
          <w:b w:val="false"/>
          <w:color w:val="000000"/>
          <w:sz w:val="24"/>
        </w:rPr>
        <w:t xml:space="preserve">Free Cash Flow represents approximately 60% conversion of Adjusted EBITDA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6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76300"/>
                <wp:effectExtent l="0" t="0" r="0" b="0"/>
                <wp:wrapNone/>
                <wp:docPr id="7" name="Frame5"/>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2</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2</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lineRule="auto" w:line="288" w:before="0" w:after="0"/>
        <w:jc w:val="both"/>
        <w:rPr>
          <w:rFonts w:ascii="Arial Narrow;sans-serif" w:hAnsi="Arial Narrow;sans-serif"/>
          <w:b/>
          <w:color w:val="000000"/>
          <w:sz w:val="24"/>
        </w:rPr>
      </w:pPr>
      <w:r>
        <w:rPr>
          <w:rFonts w:ascii="Arial Narrow;sans-serif" w:hAnsi="Arial Narrow;sans-serif"/>
          <w:b/>
          <w:color w:val="000000"/>
          <w:sz w:val="24"/>
        </w:rPr>
        <w:t>Conference Call</w:t>
      </w:r>
    </w:p>
    <w:p>
      <w:pPr>
        <w:pStyle w:val="TextBody"/>
        <w:bidi w:val="0"/>
        <w:spacing w:lineRule="auto" w:line="268" w:before="0" w:after="0"/>
        <w:jc w:val="left"/>
        <w:rPr/>
      </w:pPr>
      <w:r>
        <w:rPr>
          <w:rFonts w:ascii="Arial Narrow;sans-serif" w:hAnsi="Arial Narrow;sans-serif"/>
          <w:b w:val="false"/>
          <w:color w:val="000000"/>
          <w:sz w:val="24"/>
        </w:rPr>
        <w:t>CBIZ will host a conference call today at 5 p.m. (ET) to discuss its first quarter results. The call will be webcast, and an archived replay will be available at https://cbiz.gcs-web.com/investor-overview</w:t>
      </w:r>
      <w:r>
        <w:rPr>
          <w:rFonts w:ascii="Arial Narrow;sans-serif" w:hAnsi="Arial Narrow;sans-serif"/>
          <w:b w:val="false"/>
          <w:color w:val="0000FF"/>
          <w:sz w:val="24"/>
        </w:rPr>
        <w:t>.</w:t>
      </w:r>
      <w:r>
        <w:rPr>
          <w:color w:val="000000"/>
        </w:rPr>
        <w:t xml:space="preserve"> </w:t>
      </w:r>
      <w:r>
        <w:rPr>
          <w:rFonts w:ascii="Arial Narrow;sans-serif" w:hAnsi="Arial Narrow;sans-serif"/>
          <w:b w:val="false"/>
          <w:color w:val="000000"/>
          <w:sz w:val="24"/>
        </w:rPr>
        <w:t xml:space="preserve">Participants can register for the conference call at </w:t>
      </w:r>
      <w:r>
        <w:rPr>
          <w:rFonts w:ascii="Arial Narrow;sans-serif" w:hAnsi="Arial Narrow;sans-serif"/>
          <w:b w:val="false"/>
          <w:color w:val="000000"/>
          <w:sz w:val="22"/>
        </w:rPr>
        <w:t>https://dpregister.com/sreg/10208405/103d3539954</w:t>
      </w:r>
      <w:r>
        <w:rPr>
          <w:rFonts w:ascii="Arial Narrow;sans-serif" w:hAnsi="Arial Narrow;sans-serif"/>
          <w:b w:val="false"/>
          <w:color w:val="000000"/>
          <w:sz w:val="24"/>
        </w:rPr>
        <w:t>.</w:t>
      </w:r>
    </w:p>
    <w:p>
      <w:pPr>
        <w:pStyle w:val="TextBody"/>
        <w:bidi w:val="0"/>
        <w:spacing w:lineRule="auto" w:line="288" w:before="120" w:after="60"/>
        <w:jc w:val="both"/>
        <w:rPr>
          <w:rFonts w:ascii="Arial Narrow;sans-serif" w:hAnsi="Arial Narrow;sans-serif"/>
          <w:b/>
          <w:color w:val="000000"/>
          <w:sz w:val="24"/>
        </w:rPr>
      </w:pPr>
      <w:r>
        <w:rPr>
          <w:rFonts w:ascii="Arial Narrow;sans-serif" w:hAnsi="Arial Narrow;sans-serif"/>
          <w:b/>
          <w:color w:val="000000"/>
          <w:sz w:val="24"/>
        </w:rPr>
        <w:t>About CBIZ</w:t>
      </w:r>
    </w:p>
    <w:p>
      <w:pPr>
        <w:pStyle w:val="TextBody"/>
        <w:bidi w:val="0"/>
        <w:spacing w:lineRule="auto" w:line="268" w:before="0" w:after="0"/>
        <w:jc w:val="both"/>
        <w:rPr>
          <w:rFonts w:ascii="Arial Narrow;sans-serif" w:hAnsi="Arial Narrow;sans-serif"/>
          <w:b w:val="false"/>
          <w:color w:val="000000"/>
          <w:sz w:val="24"/>
        </w:rPr>
      </w:pPr>
      <w:r>
        <w:rPr>
          <w:rFonts w:ascii="Arial Narrow;sans-serif" w:hAnsi="Arial Narrow;sans-serif"/>
          <w:b w:val="false"/>
          <w:color w:val="000000"/>
          <w:sz w:val="24"/>
        </w:rPr>
        <w:t xml:space="preserve">CBIZ, Inc. (NYSE: CBZ) is a leading professional services advisor to middle market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23 major markets coast to coast. For more information, visit www.cbiz.com. </w:t>
      </w:r>
    </w:p>
    <w:p>
      <w:pPr>
        <w:pStyle w:val="TextBody"/>
        <w:bidi w:val="0"/>
        <w:spacing w:lineRule="auto" w:line="288" w:before="120" w:after="60"/>
        <w:jc w:val="both"/>
        <w:rPr>
          <w:rFonts w:ascii="Arial Narrow;sans-serif" w:hAnsi="Arial Narrow;sans-serif"/>
          <w:b/>
          <w:color w:val="000000"/>
          <w:sz w:val="24"/>
        </w:rPr>
      </w:pPr>
      <w:r>
        <w:rPr>
          <w:rFonts w:ascii="Arial Narrow;sans-serif" w:hAnsi="Arial Narrow;sans-serif"/>
          <w:b/>
          <w:color w:val="000000"/>
          <w:sz w:val="24"/>
        </w:rPr>
        <w:t>Forward-Looking Statements</w:t>
      </w:r>
    </w:p>
    <w:p>
      <w:pPr>
        <w:pStyle w:val="TextBody"/>
        <w:bidi w:val="0"/>
        <w:spacing w:lineRule="auto" w:line="268" w:before="120" w:after="283"/>
        <w:jc w:val="both"/>
        <w:rPr>
          <w:rFonts w:ascii="Arial Narrow;sans-serif" w:hAnsi="Arial Narrow;sans-serif"/>
          <w:b w:val="false"/>
          <w:color w:val="000000"/>
          <w:sz w:val="24"/>
        </w:rPr>
      </w:pPr>
      <w:r>
        <w:rPr>
          <w:rFonts w:ascii="Arial Narrow;sans-serif" w:hAnsi="Arial Narrow;sans-serif"/>
          <w:b w:val="false"/>
          <w:color w:val="000000"/>
          <w:sz w:val="24"/>
        </w:rPr>
        <w:t>This release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release, including, without limitation, our “2026 Financial Outlook,” our financial position, business strategy, plans and objectives for future performance,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pStyle w:val="TextBody"/>
        <w:bidi w:val="0"/>
        <w:spacing w:lineRule="auto" w:line="268" w:before="120" w:after="283"/>
        <w:jc w:val="both"/>
        <w:rPr>
          <w:rFonts w:ascii="Arial Narrow;sans-serif" w:hAnsi="Arial Narrow;sans-serif"/>
          <w:b w:val="false"/>
          <w:color w:val="000000"/>
          <w:sz w:val="24"/>
        </w:rPr>
      </w:pPr>
      <w:r>
        <w:rPr>
          <w:rFonts w:ascii="Arial Narrow;sans-serif" w:hAnsi="Arial Narrow;sans-serif"/>
          <w:b w:val="false"/>
          <w:color w:val="000000"/>
          <w:sz w:val="24"/>
        </w:rPr>
        <w:t xml:space="preserve">From time to time, we may also provide oral or written forward-looking statements in other materials we release to the public. Any or all of our forward-looking statements in this release and in any other public statements that we make are subject to certain risks and uncertainties that could cause actual results to differ materially from those projected. Such risks and uncertainties include, but are not limited to: payments on accounts receivable may be slower than expected, or amounts due on receivables or notes may not be fully collectible; our business could be adversely affected if the non-attest business assets we acquired, or the attest assets CBIZ CPAs acquired, from Marcum LLP (“Marcum”) do not perform to our expectations or we underestimate the liabilities we have assumed; we are dependent on the services of our executive officers, and other key employees, the loss of any of whom may have a material adverse effect on our business, financial condition and results of operations; our profitability could suffer if we are not able to effectively utilize our employees, maintain operational efficiencies or manage our cost structure; 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claims or adverse publicity could harm our brand, reputation and ability to compete and attract and retain clients, talent and future acquisition targets;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76300"/>
                <wp:effectExtent l="0" t="0" r="0" b="0"/>
                <wp:wrapNone/>
                <wp:docPr id="8" name="Frame6"/>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3</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3</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lineRule="auto" w:line="268" w:before="120" w:after="283"/>
        <w:jc w:val="both"/>
        <w:rPr>
          <w:rFonts w:ascii="Arial Narrow;sans-serif" w:hAnsi="Arial Narrow;sans-serif"/>
          <w:b w:val="false"/>
          <w:color w:val="000000"/>
          <w:sz w:val="24"/>
        </w:rPr>
      </w:pPr>
      <w:r>
        <w:rPr>
          <w:rFonts w:ascii="Arial Narrow;sans-serif" w:hAnsi="Arial Narrow;sans-serif"/>
          <w:b w:val="false"/>
          <w:color w:val="000000"/>
          <w:sz w:val="24"/>
        </w:rPr>
        <w:t>changes, which could have a material adverse effect on our financial condition; uncertainty in the current economic and geopolitical environment could lead to declines in demand for certain of our services;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failure to maintain our reputation and brand could impact our ability to attract and retain clients, employees and future acquisition targets, and may have a material adverse effect on our business, financial condition and results of operations; 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given our levels of share-based compensation, our tax rate may vary significantly depending on our stock price; we may be subject to the actions of activist stockholders; rapid technological changes could significantly impact our competitive position, client relationships and operating results and our ability to realize the anticipated benefits of our acquisition of the non-attest business assets and liabilities of Marcum and CBIZ CPAs P.C.’s purchase from Marcum of substantially all of Marcum’s attest business assets (the “Transaction”);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our amended and restated credit agreement (the “2024 Credit Facilities”) providing for $2.0 billion in senior secured credit facilities, consisting of a $1.4 billion term loan and $600 million revolving credit facility, could adversely affect our ability to run our business and/or reduce stockholder returns; our failure to satisfy covenants in our debt instruments could cause a default under those instruments; our increased leverage following the Transaction may adversely impact our business; we may be more sensitive to revenue fluctuations than other companies, which could result in fluctuations in the market price of our common stock; the significant number of shares issuable as the stock consideration in the Transaction may adversely impact our stock price; the future issuance of additional shares could adversely affect the price of our common stock; there is volatility in our stock price; and the price of our common stock could be adversely impacted if we do not perform to expectations following the Transaction.</w:t>
      </w:r>
    </w:p>
    <w:p>
      <w:pPr>
        <w:pStyle w:val="TextBody"/>
        <w:bidi w:val="0"/>
        <w:spacing w:lineRule="auto" w:line="268" w:before="120" w:after="283"/>
        <w:jc w:val="both"/>
        <w:rPr/>
      </w:pPr>
      <w:r>
        <w:rPr>
          <w:rFonts w:ascii="Arial Narrow;sans-serif" w:hAnsi="Arial Narrow;sans-serif"/>
          <w:b w:val="false"/>
          <w:color w:val="000000"/>
          <w:sz w:val="24"/>
        </w:rPr>
        <w:t xml:space="preserve">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 Consequently, no forward-looking statement can be guaranteed. Our actual future results may vary materially. </w:t>
      </w:r>
      <w:r>
        <w:rPr>
          <w:rFonts w:ascii="Arial Narrow;sans-serif" w:hAnsi="Arial Narrow;sans-serif"/>
          <w:b w:val="false"/>
          <w:color w:val="192326"/>
          <w:sz w:val="24"/>
        </w:rPr>
        <w:t xml:space="preserve">All forward looking statements made in this release are made only as of the date hereof, </w:t>
      </w:r>
      <w:r>
        <w:rPr>
          <w:rFonts w:ascii="Arial Narrow;sans-serif" w:hAnsi="Arial Narrow;sans-serif"/>
          <w:b w:val="false"/>
          <w:color w:val="000000"/>
          <w:sz w:val="24"/>
        </w:rPr>
        <w:t xml:space="preserve">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Securities and Exchange Commission (“SEC”). Also note that we provide a cautionary discussion of the risks, uncertainties and possibly inaccurate assumptions relevant to our businesses in “Item 1. Business” and “Item 1A. Risk Factors” in our Annual Report on Form 10-K for the year ended December 31, 2025. These are factors that we think could cause our actual results to differ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76300"/>
                <wp:effectExtent l="0" t="0" r="0" b="0"/>
                <wp:wrapNone/>
                <wp:docPr id="9" name="Frame7"/>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4</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4</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lineRule="auto" w:line="268" w:before="120" w:after="283"/>
        <w:jc w:val="both"/>
        <w:rPr>
          <w:rFonts w:ascii="Arial Narrow;sans-serif" w:hAnsi="Arial Narrow;sans-serif"/>
          <w:b w:val="false"/>
          <w:color w:val="000000"/>
          <w:sz w:val="24"/>
        </w:rPr>
      </w:pPr>
      <w:r>
        <w:rPr>
          <w:rFonts w:ascii="Arial Narrow;sans-serif" w:hAnsi="Arial Narrow;sans-serif"/>
          <w:b w:val="false"/>
          <w:color w:val="000000"/>
          <w:sz w:val="24"/>
        </w:rPr>
        <w:t xml:space="preserve">materially from expected and historical results. Other factors besides those described here could also adversely affect our operating or financial performance. </w:t>
      </w:r>
    </w:p>
    <w:p>
      <w:pPr>
        <w:pStyle w:val="TextBody"/>
        <w:bidi w:val="0"/>
        <w:spacing w:lineRule="auto" w:line="288" w:before="120" w:after="60"/>
        <w:jc w:val="both"/>
        <w:rPr/>
      </w:pPr>
      <w:r>
        <w:rPr>
          <w:rFonts w:ascii="Arial Narrow;sans-serif" w:hAnsi="Arial Narrow;sans-serif"/>
          <w:b/>
          <w:color w:val="000000"/>
          <w:sz w:val="24"/>
        </w:rPr>
        <w:t>Non-GAAP Financial Measures</w:t>
      </w:r>
      <w:r>
        <w:rPr>
          <w:color w:val="000000"/>
        </w:rPr>
        <w:t xml:space="preserve"> </w:t>
      </w:r>
    </w:p>
    <w:p>
      <w:pPr>
        <w:pStyle w:val="TextBody"/>
        <w:bidi w:val="0"/>
        <w:spacing w:lineRule="auto" w:line="288" w:before="120" w:after="283"/>
        <w:jc w:val="both"/>
        <w:rPr/>
      </w:pPr>
      <w:r>
        <w:rPr>
          <w:rFonts w:ascii="Arial Narrow;sans-serif" w:hAnsi="Arial Narrow;sans-serif"/>
          <w:b w:val="false"/>
          <w:color w:val="000000"/>
          <w:sz w:val="24"/>
        </w:rPr>
        <w:t>To supplement our consolidated financial statements, which are prepared and presented in accordance with United States Generally Accepted Accounting Principles (“GAAP”), we also present Adjusted Net Income (Loss), Adjusted Diluted Earnings Per Share (“EPS”), Adjusted EBITDA, and Free Cash Flow, which are non-GAAP measures. These non-GAAP measures are adjusted to exclude the impact of the Transaction, integration costs, amortization of acquired intangible assets, and other significant non-operating related gains and losses management does not consider ongoing in nature. The presentation of non-GAAP financial information is designed to supplement the Company’s financial information presented in accordance with GAAP, is not intended to be considered in isolation or as a substitute for, or superior to, the financial information prepared and presented in accordance with GAAP. We use these non-GAAP financial measures for financial and operational decision-making, and to evaluate results relative to employee compensation targets. We believe that these non-GAAP financial measures provide meaningful supplemental information to stockholders, debt holders, and other interested parties in assessing our performance. These non-GAAP financial measures also facilitate management’s internal comparisons to our historical performance by excluding significant acquisition expenses, certain one-time non-recurring items, and gains and losses that management does not consider ongoing in nature. We believe these non-GAAP financial measures are useful to investors both because (1) they allow for greater transparency with respect to key measures used by management in its financial and operational decision-making and (2) they are used by our stockholders and analyst community to determine the health of our business. These non-GAAP measures may not be comparable to similar non-GAAP measures presented by other companies. The presentation of such non-GAAP measures, which may include exclusions of non-recurring items, should not be construed as an inference that the Company's future results will be unaffected by other non-recurring items. Management provides specific information regarding the GAAP amounts excluded from or included in these non-GAAP financial measures. Additionally, management provides reconciliations of these non-GAAP financial measures to their most comparable financial measures presented in accordance with GAAP. Please see the schedules captioned “GAAP Reconciliation” at the end of this release for additional information and the applicable reconciliations.</w:t>
      </w:r>
      <w:r>
        <w:rPr>
          <w:color w:val="000000"/>
        </w:rPr>
        <w:t xml:space="preserve"> </w:t>
      </w:r>
      <w:r>
        <w:rPr>
          <w:rFonts w:ascii="Arial Narrow;sans-serif" w:hAnsi="Arial Narrow;sans-serif"/>
          <w:b w:val="false"/>
          <w:color w:val="000000"/>
          <w:sz w:val="24"/>
        </w:rPr>
        <w:t xml:space="preserve">The Company does not reconcile its forward-looking non-GAAP financial measures to the most comparable financial measure presented in accordance with GAAP, due to variability and difficulty in making accurate forecasts and projections and/or certain information not being ascertainable or accessible without unreasonable efforts. For example, the Company may be unable, without unreasonable efforts, to predict with reasonable certainty the timing or amount of integration costs, amortization of acquired intangible assets and certain other significant non-operating related gains and losses on a forward-looking basis. The significance of this unavailable information could have a material impact on the Company’s GAAP results. The Company provides forward-looking non-GAAP financial measures that it believes will be achieved; however, it cannot accurately predict all of the components of the most directly comparable financial measures presented in accordance with GAAP, and the GAAP measures may be materially different than the non-GAAP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76300"/>
                <wp:effectExtent l="0" t="0" r="0" b="0"/>
                <wp:wrapNone/>
                <wp:docPr id="10" name="Frame8"/>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5</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5</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CBIZ,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FINANCIAL HIGHLIGHTS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THREE MONTHS ENDED MARCH 31, 2026 AND 2025</w:t>
      </w:r>
    </w:p>
    <w:p>
      <w:pPr>
        <w:pStyle w:val="TextBody"/>
        <w:bidi w:val="0"/>
        <w:spacing w:lineRule="auto" w:line="288" w:before="0" w:after="0"/>
        <w:jc w:val="center"/>
        <w:rPr>
          <w:rFonts w:ascii="Arial;sans-serif" w:hAnsi="Arial;sans-serif"/>
          <w:b/>
          <w:i/>
          <w:color w:val="000000"/>
          <w:sz w:val="16"/>
        </w:rPr>
      </w:pPr>
      <w:r>
        <w:rPr>
          <w:rFonts w:ascii="Arial;sans-serif" w:hAnsi="Arial;sans-serif"/>
          <w:b/>
          <w:i/>
          <w:color w:val="000000"/>
          <w:sz w:val="16"/>
        </w:rPr>
        <w:t>(In thousands, except percentages and per share data)</w:t>
      </w:r>
    </w:p>
    <w:tbl>
      <w:tblPr>
        <w:tblW w:w="10205" w:type="dxa"/>
        <w:jc w:val="center"/>
        <w:tblInd w:w="0" w:type="dxa"/>
        <w:tblLayout w:type="fixed"/>
        <w:tblCellMar>
          <w:top w:w="28" w:type="dxa"/>
          <w:left w:w="28" w:type="dxa"/>
          <w:bottom w:w="28" w:type="dxa"/>
          <w:right w:w="28" w:type="dxa"/>
        </w:tblCellMar>
      </w:tblPr>
      <w:tblGrid>
        <w:gridCol w:w="1690"/>
        <w:gridCol w:w="1466"/>
        <w:gridCol w:w="1479"/>
        <w:gridCol w:w="109"/>
        <w:gridCol w:w="109"/>
        <w:gridCol w:w="109"/>
        <w:gridCol w:w="211"/>
        <w:gridCol w:w="856"/>
        <w:gridCol w:w="109"/>
        <w:gridCol w:w="109"/>
        <w:gridCol w:w="109"/>
        <w:gridCol w:w="109"/>
        <w:gridCol w:w="323"/>
        <w:gridCol w:w="323"/>
        <w:gridCol w:w="286"/>
        <w:gridCol w:w="109"/>
        <w:gridCol w:w="109"/>
        <w:gridCol w:w="109"/>
        <w:gridCol w:w="211"/>
        <w:gridCol w:w="856"/>
        <w:gridCol w:w="109"/>
        <w:gridCol w:w="109"/>
        <w:gridCol w:w="109"/>
        <w:gridCol w:w="109"/>
        <w:gridCol w:w="323"/>
        <w:gridCol w:w="323"/>
        <w:gridCol w:w="332"/>
      </w:tblGrid>
      <w:tr>
        <w:trPr/>
        <w:tc>
          <w:tcPr>
            <w:tcW w:w="169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848,579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838,014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expenses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226,017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228,102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w:t>
            </w: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general and administrative expenses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200,032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w:t>
            </w: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acquisition related adjustment,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Other expense, net </w:t>
            </w:r>
            <w:r>
              <w:rPr>
                <w:rFonts w:ascii="Arial;sans-serif" w:hAnsi="Arial;sans-serif"/>
                <w:b w:val="false"/>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226,472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172,910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20.6</w:t>
            </w: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161,612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122,773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w:t>
            </w: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Diluted earnings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Adjusted EBITDA </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Adjusted Diluted EPS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76300"/>
                <wp:effectExtent l="0" t="0" r="0" b="0"/>
                <wp:wrapNone/>
                <wp:docPr id="11" name="Frame9"/>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6</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6</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(1)We sponsor a Non-qualified Deferred Compensation Plan (the "deferred compensation plan"), under which a CBIZ employee’s compensation deferral is held in a rabbi trust and invested accordingly as directed by the employee.The activities related to the deferred compensation plan are recorded in "Corporate and Other" for segment reporting purposes. Gains and losses resulting from the adjustments to the fair value of the invested assets in the deferred compensation plan are recorded as an increase or decrease to the "Other income (expense), net", directly offset by the same adjustments as an increase or decrease to compensation expense (recorded as "Operating expense" or "Corporate general and administrative expense") in the accompanying Unaudited Condensed Consolidated Statements of Comprehensive Income. The deferred compensation plan has no impact on “Income before income tax expense” or diluted earnings per share. </w:t>
      </w:r>
    </w:p>
    <w:p>
      <w:pPr>
        <w:pStyle w:val="TextBody"/>
        <w:bidi w:val="0"/>
        <w:spacing w:before="60" w:after="283"/>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Income and expenses related to the deferred compensation plan for the three months ended March 31, 2026, and 2025, are as follows (in thousands, except percentages): </w:t>
      </w:r>
    </w:p>
    <w:tbl>
      <w:tblPr>
        <w:tblW w:w="9584" w:type="dxa"/>
        <w:jc w:val="left"/>
        <w:tblInd w:w="0" w:type="dxa"/>
        <w:tblLayout w:type="fixed"/>
        <w:tblCellMar>
          <w:top w:w="28" w:type="dxa"/>
          <w:left w:w="28" w:type="dxa"/>
          <w:bottom w:w="28" w:type="dxa"/>
          <w:right w:w="28" w:type="dxa"/>
        </w:tblCellMar>
      </w:tblPr>
      <w:tblGrid>
        <w:gridCol w:w="1380"/>
        <w:gridCol w:w="1211"/>
        <w:gridCol w:w="1218"/>
        <w:gridCol w:w="109"/>
        <w:gridCol w:w="109"/>
        <w:gridCol w:w="109"/>
        <w:gridCol w:w="211"/>
        <w:gridCol w:w="691"/>
        <w:gridCol w:w="109"/>
        <w:gridCol w:w="109"/>
        <w:gridCol w:w="109"/>
        <w:gridCol w:w="109"/>
        <w:gridCol w:w="267"/>
        <w:gridCol w:w="267"/>
        <w:gridCol w:w="666"/>
        <w:gridCol w:w="109"/>
        <w:gridCol w:w="109"/>
        <w:gridCol w:w="109"/>
        <w:gridCol w:w="211"/>
        <w:gridCol w:w="691"/>
        <w:gridCol w:w="109"/>
        <w:gridCol w:w="109"/>
        <w:gridCol w:w="109"/>
        <w:gridCol w:w="109"/>
        <w:gridCol w:w="253"/>
        <w:gridCol w:w="253"/>
        <w:gridCol w:w="739"/>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statement line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Revenue</w:t>
            </w:r>
          </w:p>
        </w:tc>
      </w:tr>
      <w:tr>
        <w:trPr/>
        <w:tc>
          <w:tcPr>
            <w:tcW w:w="3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6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7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general and administrative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6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73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Excluding the impact of the above-mentioned income and expenses related to the deferred compensation plan, the operating results for the three months ended March 31, 2026, and 2025, are as follows (in thousands, except percentages): </w:t>
      </w:r>
    </w:p>
    <w:tbl>
      <w:tblPr>
        <w:tblW w:w="10773" w:type="dxa"/>
        <w:jc w:val="right"/>
        <w:tblInd w:w="0" w:type="dxa"/>
        <w:tblLayout w:type="fixed"/>
        <w:tblCellMar>
          <w:top w:w="28" w:type="dxa"/>
          <w:left w:w="28" w:type="dxa"/>
          <w:bottom w:w="28" w:type="dxa"/>
          <w:right w:w="28" w:type="dxa"/>
        </w:tblCellMar>
      </w:tblPr>
      <w:tblGrid>
        <w:gridCol w:w="407"/>
        <w:gridCol w:w="237"/>
        <w:gridCol w:w="197"/>
        <w:gridCol w:w="196"/>
        <w:gridCol w:w="736"/>
        <w:gridCol w:w="109"/>
        <w:gridCol w:w="109"/>
        <w:gridCol w:w="109"/>
        <w:gridCol w:w="109"/>
        <w:gridCol w:w="196"/>
        <w:gridCol w:w="626"/>
        <w:gridCol w:w="109"/>
        <w:gridCol w:w="109"/>
        <w:gridCol w:w="109"/>
        <w:gridCol w:w="109"/>
        <w:gridCol w:w="196"/>
        <w:gridCol w:w="736"/>
        <w:gridCol w:w="109"/>
        <w:gridCol w:w="109"/>
        <w:gridCol w:w="109"/>
        <w:gridCol w:w="109"/>
        <w:gridCol w:w="233"/>
        <w:gridCol w:w="233"/>
        <w:gridCol w:w="318"/>
        <w:gridCol w:w="109"/>
        <w:gridCol w:w="109"/>
        <w:gridCol w:w="109"/>
        <w:gridCol w:w="196"/>
        <w:gridCol w:w="736"/>
        <w:gridCol w:w="109"/>
        <w:gridCol w:w="109"/>
        <w:gridCol w:w="109"/>
        <w:gridCol w:w="109"/>
        <w:gridCol w:w="196"/>
        <w:gridCol w:w="626"/>
        <w:gridCol w:w="109"/>
        <w:gridCol w:w="109"/>
        <w:gridCol w:w="109"/>
        <w:gridCol w:w="109"/>
        <w:gridCol w:w="196"/>
        <w:gridCol w:w="736"/>
        <w:gridCol w:w="109"/>
        <w:gridCol w:w="109"/>
        <w:gridCol w:w="109"/>
        <w:gridCol w:w="109"/>
        <w:gridCol w:w="233"/>
        <w:gridCol w:w="233"/>
        <w:gridCol w:w="367"/>
      </w:tblGrid>
      <w:tr>
        <w:trPr/>
        <w:tc>
          <w:tcPr>
            <w:tcW w:w="4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9932"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Deferred Compensation Plan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Adjusted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Deferred Compensation Plan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Adjusted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of Revenue</w:t>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226,017 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222,948 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3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228,102 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225,670 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3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1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67" w:type="dxa"/>
            <w:tcBorders/>
            <w:shd w:fill="CFF0FC"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60" w:after="283"/>
        <w:ind w:left="0" w:right="0" w:hanging="360"/>
        <w:jc w:val="both"/>
        <w:rPr/>
      </w:pPr>
      <w:r>
        <w:rPr>
          <w:rFonts w:ascii="Arial;sans-serif" w:hAnsi="Arial;sans-serif"/>
          <w:b w:val="false"/>
          <w:color w:val="000000"/>
          <w:sz w:val="18"/>
        </w:rPr>
        <w:t>(2)Included in "Other expense, net" for the three months ended March 31, 2026, and 2025, is expense o</w:t>
      </w:r>
      <w:r>
        <w:rPr>
          <w:rFonts w:ascii="Arial;sans-serif" w:hAnsi="Arial;sans-serif"/>
          <w:b w:val="false"/>
          <w:color w:val="000000"/>
          <w:sz w:val="20"/>
        </w:rPr>
        <w:t xml:space="preserve">f </w:t>
      </w:r>
      <w:r>
        <w:rPr>
          <w:rFonts w:ascii="Arial;sans-serif" w:hAnsi="Arial;sans-serif"/>
          <w:b w:val="false"/>
          <w:color w:val="000000"/>
          <w:sz w:val="18"/>
        </w:rPr>
        <w:t xml:space="preserve">$0.2 million and $0.5 million, respectively, related to net changes in the fair value of contingent consideration related to CBIZ's prior acquisitions. </w:t>
      </w:r>
    </w:p>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(3)Refer to the schedules reconciling Adjusted Diluted EPS and Adjusted EBITDA to the most directly comparable GAAP financial measures at the end of this release and for additional information as to the usefulness of the non-GAAP financial measures to stockholders and investors.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76300"/>
                <wp:effectExtent l="0" t="0" r="0" b="0"/>
                <wp:wrapNone/>
                <wp:docPr id="12" name="Frame10"/>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7</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7</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CBIZ,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FINANCIAL HIGHLIGHTS (UNAUDITED)</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SELECT SEGMENT DATA</w:t>
      </w:r>
    </w:p>
    <w:p>
      <w:pPr>
        <w:pStyle w:val="TextBody"/>
        <w:bidi w:val="0"/>
        <w:spacing w:lineRule="auto" w:line="288" w:before="0" w:after="60"/>
        <w:jc w:val="center"/>
        <w:rPr>
          <w:rFonts w:ascii="Arial;sans-serif" w:hAnsi="Arial;sans-serif"/>
          <w:b/>
          <w:i/>
          <w:color w:val="000000"/>
          <w:sz w:val="16"/>
        </w:rPr>
      </w:pPr>
      <w:r>
        <w:rPr>
          <w:rFonts w:ascii="Arial;sans-serif" w:hAnsi="Arial;sans-serif"/>
          <w:b/>
          <w:i/>
          <w:color w:val="000000"/>
          <w:sz w:val="16"/>
        </w:rPr>
        <w:t>(In thousands)</w:t>
      </w:r>
    </w:p>
    <w:tbl>
      <w:tblPr>
        <w:tblW w:w="7911" w:type="dxa"/>
        <w:jc w:val="center"/>
        <w:tblInd w:w="0" w:type="dxa"/>
        <w:tblLayout w:type="fixed"/>
        <w:tblCellMar>
          <w:top w:w="28" w:type="dxa"/>
          <w:left w:w="28" w:type="dxa"/>
          <w:bottom w:w="28" w:type="dxa"/>
          <w:right w:w="28" w:type="dxa"/>
        </w:tblCellMar>
      </w:tblPr>
      <w:tblGrid>
        <w:gridCol w:w="1200"/>
        <w:gridCol w:w="1050"/>
        <w:gridCol w:w="1065"/>
        <w:gridCol w:w="109"/>
        <w:gridCol w:w="109"/>
        <w:gridCol w:w="109"/>
        <w:gridCol w:w="109"/>
        <w:gridCol w:w="109"/>
        <w:gridCol w:w="337"/>
        <w:gridCol w:w="337"/>
        <w:gridCol w:w="653"/>
        <w:gridCol w:w="337"/>
        <w:gridCol w:w="885"/>
        <w:gridCol w:w="109"/>
        <w:gridCol w:w="109"/>
        <w:gridCol w:w="109"/>
        <w:gridCol w:w="322"/>
        <w:gridCol w:w="219"/>
        <w:gridCol w:w="634"/>
      </w:tblGrid>
      <w:tr>
        <w:trPr/>
        <w:tc>
          <w:tcPr>
            <w:tcW w:w="120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02" w:type="dxa"/>
            <w:gridSpan w:val="6"/>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Financial Services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$725,038</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112,976</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848,579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838,014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Financial Services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204,280</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27,618</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expenses - unallocated </w:t>
            </w:r>
            <w:r>
              <w:rPr>
                <w:rFonts w:ascii="Arial;sans-serif" w:hAnsi="Arial;sans-serif"/>
                <w:b w:val="false"/>
                <w:color w:val="000000"/>
                <w:sz w:val="13"/>
              </w:rPr>
              <w:t>(2)</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(6,228)</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226,017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228,102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26.6</w:t>
            </w:r>
            <w:r>
              <w:rPr>
                <w:color w:val="000000"/>
              </w:rPr>
              <w:t> </w:t>
            </w:r>
          </w:p>
        </w:tc>
        <w:tc>
          <w:tcPr>
            <w:tcW w:w="8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w:t>
            </w:r>
            <w:r>
              <w:rPr>
                <w:color w:val="000000"/>
              </w:rPr>
              <w:t> </w:t>
            </w:r>
          </w:p>
        </w:tc>
        <w:tc>
          <w:tcPr>
            <w:tcW w:w="6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(1)During the three months of March 31, 2026, the National Practice practice was combined with the Financial Service practice group to better align with internal management and reporting structure. As a result, the Financial Services revenue and gross margin for the three months ended March 31, 2025 was adjusted to reflect this change. </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(2)Represents operating expenses not directly allocated to individual businesses, including stock-based compensation, consolidation and integration charges, and certain advertising expenses. "Operating expenses - unallocated" also includes gains or losses attributable to the assets held in a rabbi trust associated with the Company's deferred compensation plan. These gains or losses do not impact "Income before income tax expense" as they are directly offset by the same adjustment to "Other income (expense), net" in the Consolidated Statements of Comprehensive Income. Net gains or losses recognized from adjustments to the fair value of the assets held in the rabbi trust are recorded as compensation expense (income) in "Operating expenses" and “Corporate, general and administrative expenses,” and offset in "Other income (expense), net."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76300"/>
                <wp:effectExtent l="0" t="0" r="0" b="0"/>
                <wp:wrapNone/>
                <wp:docPr id="13" name="Frame11"/>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8</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8</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SELECT CASH FLOW DATA (UNAUDITED)</w:t>
      </w:r>
    </w:p>
    <w:p>
      <w:pPr>
        <w:pStyle w:val="TextBody"/>
        <w:bidi w:val="0"/>
        <w:spacing w:lineRule="auto" w:line="288" w:before="0" w:after="0"/>
        <w:jc w:val="center"/>
        <w:rPr>
          <w:rFonts w:ascii="Arial;sans-serif" w:hAnsi="Arial;sans-serif"/>
          <w:b/>
          <w:i/>
          <w:color w:val="000000"/>
          <w:sz w:val="16"/>
        </w:rPr>
      </w:pPr>
      <w:r>
        <w:rPr>
          <w:rFonts w:ascii="Arial;sans-serif" w:hAnsi="Arial;sans-serif"/>
          <w:b/>
          <w:i/>
          <w:color w:val="000000"/>
          <w:sz w:val="16"/>
        </w:rPr>
        <w:t>(In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88"/>
        <w:gridCol w:w="2270"/>
        <w:gridCol w:w="2294"/>
        <w:gridCol w:w="109"/>
        <w:gridCol w:w="109"/>
        <w:gridCol w:w="109"/>
        <w:gridCol w:w="211"/>
        <w:gridCol w:w="856"/>
        <w:gridCol w:w="109"/>
        <w:gridCol w:w="109"/>
        <w:gridCol w:w="109"/>
        <w:gridCol w:w="109"/>
        <w:gridCol w:w="211"/>
        <w:gridCol w:w="856"/>
        <w:gridCol w:w="156"/>
      </w:tblGrid>
      <w:tr>
        <w:trPr/>
        <w:tc>
          <w:tcPr>
            <w:tcW w:w="2588"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161,612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 debt expense, net of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contingent earnout liability,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deferred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Changes in assets and liabilities, net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(214,671)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(201,258)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personnel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(37,864)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218,090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177,078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cash, cash equivalents and restricted cash to the consolidated balance sheet:</w:t>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28,718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40,622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included in funds held for clients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177,078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76300"/>
                <wp:effectExtent l="0" t="0" r="0" b="0"/>
                <wp:wrapNone/>
                <wp:docPr id="14" name="Frame12"/>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9</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9</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GAAP RECONCILIATION</w:t>
      </w:r>
    </w:p>
    <w:p>
      <w:pPr>
        <w:pStyle w:val="TextBody"/>
        <w:bidi w:val="0"/>
        <w:spacing w:lineRule="auto" w:line="288" w:before="0" w:after="0"/>
        <w:jc w:val="center"/>
        <w:rPr/>
      </w:pPr>
      <w:r>
        <w:rPr>
          <w:rFonts w:ascii="Arial;sans-serif" w:hAnsi="Arial;sans-serif"/>
          <w:b/>
          <w:color w:val="000000"/>
          <w:sz w:val="20"/>
          <w:u w:val="single"/>
        </w:rPr>
        <w:t>Operating Cash Flow to Free Cash Flow</w:t>
      </w:r>
      <w:r>
        <w:rPr>
          <w:rFonts w:ascii="Arial;sans-serif" w:hAnsi="Arial;sans-serif"/>
          <w:b/>
          <w:color w:val="000000"/>
          <w:sz w:val="13"/>
          <w:u w:val="single"/>
        </w:rPr>
        <w:t>(1)</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 Amounts in thousands, except per share data)</w:t>
      </w:r>
    </w:p>
    <w:p>
      <w:pPr>
        <w:pStyle w:val="TextBody"/>
        <w:bidi w:val="0"/>
        <w:spacing w:before="0" w:after="0"/>
        <w:jc w:val="center"/>
        <w:rPr/>
      </w:pPr>
      <w:r>
        <w:rPr/>
      </w:r>
    </w:p>
    <w:tbl>
      <w:tblPr>
        <w:tblW w:w="6455" w:type="dxa"/>
        <w:jc w:val="center"/>
        <w:tblInd w:w="0" w:type="dxa"/>
        <w:tblLayout w:type="fixed"/>
        <w:tblCellMar>
          <w:top w:w="28" w:type="dxa"/>
          <w:left w:w="28" w:type="dxa"/>
          <w:bottom w:w="28" w:type="dxa"/>
          <w:right w:w="28" w:type="dxa"/>
        </w:tblCellMar>
      </w:tblPr>
      <w:tblGrid>
        <w:gridCol w:w="1264"/>
        <w:gridCol w:w="1112"/>
        <w:gridCol w:w="1118"/>
        <w:gridCol w:w="109"/>
        <w:gridCol w:w="109"/>
        <w:gridCol w:w="109"/>
        <w:gridCol w:w="211"/>
        <w:gridCol w:w="811"/>
        <w:gridCol w:w="109"/>
        <w:gridCol w:w="109"/>
        <w:gridCol w:w="109"/>
        <w:gridCol w:w="109"/>
        <w:gridCol w:w="211"/>
        <w:gridCol w:w="811"/>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(88,266)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Additions to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(28,515)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(93,443)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(1)This table reconciles Free Cash Flow to the most directly comparable GAAP financial measure of net cash provided by operating activities. Free Cash Flow is a non-GAAP measure that management believes provides a more complete understanding of the factors and trends affecting our cash flows. This information is useful to investors, as it offers a measure of cash generated from our business that can be used for our strategic business objectives.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SELECT FINANCIAL DATA AND RATIOS (UNAUDITED)</w:t>
      </w:r>
    </w:p>
    <w:p>
      <w:pPr>
        <w:pStyle w:val="TextBody"/>
        <w:bidi w:val="0"/>
        <w:spacing w:lineRule="auto" w:line="288" w:before="0" w:after="0"/>
        <w:jc w:val="center"/>
        <w:rPr>
          <w:rFonts w:ascii="Arial;sans-serif" w:hAnsi="Arial;sans-serif"/>
          <w:b/>
          <w:i/>
          <w:color w:val="000000"/>
          <w:sz w:val="16"/>
        </w:rPr>
      </w:pPr>
      <w:r>
        <w:rPr>
          <w:rFonts w:ascii="Arial;sans-serif" w:hAnsi="Arial;sans-serif"/>
          <w:b/>
          <w:i/>
          <w:color w:val="000000"/>
          <w:sz w:val="16"/>
        </w:rPr>
        <w:t>(In thousands, except percentages, DSO, and per share data)</w:t>
      </w:r>
    </w:p>
    <w:p>
      <w:pPr>
        <w:pStyle w:val="TextBody"/>
        <w:bidi w:val="0"/>
        <w:spacing w:before="0" w:after="0"/>
        <w:jc w:val="left"/>
        <w:rPr/>
      </w:pPr>
      <w:r>
        <w:rPr/>
      </w:r>
    </w:p>
    <w:tbl>
      <w:tblPr>
        <w:tblW w:w="10017" w:type="dxa"/>
        <w:jc w:val="left"/>
        <w:tblInd w:w="0" w:type="dxa"/>
        <w:tblLayout w:type="fixed"/>
        <w:tblCellMar>
          <w:top w:w="28" w:type="dxa"/>
          <w:left w:w="28" w:type="dxa"/>
          <w:bottom w:w="28" w:type="dxa"/>
          <w:right w:w="28" w:type="dxa"/>
        </w:tblCellMar>
      </w:tblPr>
      <w:tblGrid>
        <w:gridCol w:w="2328"/>
        <w:gridCol w:w="2049"/>
        <w:gridCol w:w="2057"/>
        <w:gridCol w:w="109"/>
        <w:gridCol w:w="109"/>
        <w:gridCol w:w="109"/>
        <w:gridCol w:w="619"/>
        <w:gridCol w:w="343"/>
        <w:gridCol w:w="348"/>
        <w:gridCol w:w="109"/>
        <w:gridCol w:w="109"/>
        <w:gridCol w:w="109"/>
        <w:gridCol w:w="721"/>
        <w:gridCol w:w="371"/>
        <w:gridCol w:w="527"/>
      </w:tblGrid>
      <w:tr>
        <w:trPr/>
        <w:tc>
          <w:tcPr>
            <w:tcW w:w="2328"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18,290</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38,234</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555,995</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79,693</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 before funds held for clients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692,212</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Funds held for clients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207,037</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and 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2,869,790</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4,629,960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4,409,528</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 before client fund obligations, excluding 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462,484</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Client fund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206,738</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Current portion, Term Loan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Revolver Facility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142,400</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Long-term portion, Term Loan</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1,260,000</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2,735,784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2,647,461</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(1,078,521)</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1,894,176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1,762,067</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to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Days sales outstanding (DSO)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54,380</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62,909</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63,240</w:t>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76300"/>
                <wp:effectExtent l="0" t="0" r="0" b="0"/>
                <wp:wrapNone/>
                <wp:docPr id="15" name="Frame13"/>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10</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10</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(1)Reflects the gross debt for the Term Loan and Revolving Credit Facility excluding the associated unamortized deferred debt issuance costs totaling $15.1 million and $16.5 million, respectively, as of March 31, 2026 and December 31, 2025. </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(2)DSO is provided for continuing operations and represents accounts receivable, net, at the end of the period, divided by trailing twelve-months daily revenue. The Company has included DSO data because such data is commonly used as a performance measure by analysts and investors and as a measure of the Company's ability to collect on receivables in a timely manner. DSO should not be regarded as an alternative or replacement to any measurement of performance under GAAP. DSO on March 31, 2025, was 96.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76300"/>
                <wp:effectExtent l="0" t="0" r="0" b="0"/>
                <wp:wrapNone/>
                <wp:docPr id="16" name="Frame14"/>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11</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11</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GAAP RECONCILIATION</w:t>
      </w:r>
    </w:p>
    <w:p>
      <w:pPr>
        <w:pStyle w:val="TextBody"/>
        <w:bidi w:val="0"/>
        <w:spacing w:lineRule="auto" w:line="288" w:before="0" w:after="0"/>
        <w:jc w:val="center"/>
        <w:rPr/>
      </w:pPr>
      <w:r>
        <w:rPr>
          <w:rFonts w:ascii="Arial;sans-serif" w:hAnsi="Arial;sans-serif"/>
          <w:b/>
          <w:color w:val="000000"/>
          <w:sz w:val="20"/>
          <w:u w:val="single"/>
        </w:rPr>
        <w:t>Net Income (Loss) and Diluted Earnings Per Share (“EPS”) to Adjusted Net Income (Loss), Adjusted Diluted EPS, Adjusted EBITDA, and Adjusted EBITDA Margin</w:t>
      </w:r>
      <w:r>
        <w:rPr>
          <w:rFonts w:ascii="Arial;sans-serif" w:hAnsi="Arial;sans-serif"/>
          <w:b/>
          <w:color w:val="000000"/>
          <w:sz w:val="12"/>
          <w:u w:val="single"/>
        </w:rPr>
        <w:t>(1)</w:t>
      </w:r>
    </w:p>
    <w:p>
      <w:pPr>
        <w:pStyle w:val="TextBody"/>
        <w:bidi w:val="0"/>
        <w:spacing w:lineRule="auto" w:line="288" w:before="0" w:after="0"/>
        <w:jc w:val="center"/>
        <w:rPr>
          <w:rFonts w:ascii="Arial;sans-serif" w:hAnsi="Arial;sans-serif"/>
          <w:b/>
          <w:i/>
          <w:color w:val="000000"/>
          <w:sz w:val="16"/>
        </w:rPr>
      </w:pPr>
      <w:r>
        <w:rPr>
          <w:rFonts w:ascii="Arial;sans-serif" w:hAnsi="Arial;sans-serif"/>
          <w:b/>
          <w:i/>
          <w:color w:val="000000"/>
          <w:sz w:val="16"/>
        </w:rPr>
        <w:t>(Unaudited. Amounts in thousands,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0"/>
        <w:gridCol w:w="680"/>
        <w:gridCol w:w="639"/>
        <w:gridCol w:w="528"/>
        <w:gridCol w:w="396"/>
        <w:gridCol w:w="400"/>
        <w:gridCol w:w="109"/>
        <w:gridCol w:w="109"/>
        <w:gridCol w:w="109"/>
        <w:gridCol w:w="738"/>
        <w:gridCol w:w="537"/>
        <w:gridCol w:w="383"/>
        <w:gridCol w:w="109"/>
        <w:gridCol w:w="109"/>
        <w:gridCol w:w="109"/>
        <w:gridCol w:w="557"/>
        <w:gridCol w:w="460"/>
        <w:gridCol w:w="416"/>
        <w:gridCol w:w="109"/>
        <w:gridCol w:w="109"/>
        <w:gridCol w:w="109"/>
        <w:gridCol w:w="575"/>
        <w:gridCol w:w="396"/>
        <w:gridCol w:w="400"/>
        <w:gridCol w:w="109"/>
        <w:gridCol w:w="109"/>
        <w:gridCol w:w="109"/>
        <w:gridCol w:w="211"/>
        <w:gridCol w:w="218"/>
        <w:gridCol w:w="313"/>
      </w:tblGrid>
      <w:tr>
        <w:trPr/>
        <w:tc>
          <w:tcPr>
            <w:tcW w:w="10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2026</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 and Insurance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&amp;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208,687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161,612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2.63</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Adjustments:</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Integration costs related to acquisitions </w:t>
            </w:r>
            <w:r>
              <w:rPr>
                <w:rFonts w:ascii="Arial;sans-serif" w:hAnsi="Arial;sans-serif"/>
                <w:b w:val="false"/>
                <w:color w:val="000000"/>
                <w:sz w:val="13"/>
              </w:rPr>
              <w:t>(2)</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23,869 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Gain from acquisition related adjustment, net</w:t>
            </w:r>
            <w:r>
              <w:rPr>
                <w:rFonts w:ascii="Arial;sans-serif" w:hAnsi="Arial;sans-serif"/>
                <w:b w:val="false"/>
                <w:color w:val="000000"/>
                <w:sz w:val="13"/>
              </w:rPr>
              <w:t>(3)</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w:t>
            </w:r>
            <w:r>
              <w:rPr>
                <w:rFonts w:ascii="Arial;sans-serif" w:hAnsi="Arial;sans-serif"/>
                <w:b w:val="false"/>
                <w:color w:val="000000"/>
                <w:sz w:val="13"/>
              </w:rPr>
              <w:t>(4)</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effect related to adjustments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net income (loss)</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241,280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(112,539)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153,673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2.50</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 related to the adjustments above</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w:t>
            </w:r>
            <w:r>
              <w:rPr>
                <w:color w:val="000000"/>
              </w:rPr>
              <w:t xml:space="preserve"> </w:t>
            </w:r>
            <w:r>
              <w:rPr>
                <w:rFonts w:ascii="Arial;sans-serif" w:hAnsi="Arial;sans-serif"/>
                <w:b w:val="false"/>
                <w:color w:val="000000"/>
                <w:sz w:val="13"/>
              </w:rPr>
              <w:t>(5)</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244,464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244,343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a % of Revenue</w:t>
            </w:r>
          </w:p>
        </w:tc>
        <w:tc>
          <w:tcPr>
            <w:tcW w:w="13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 and Insurance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&amp;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(109,637)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1.91</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Adjustments:</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Integration costs related to acquisitions </w:t>
            </w:r>
            <w:r>
              <w:rPr>
                <w:rFonts w:ascii="Arial;sans-serif" w:hAnsi="Arial;sans-serif"/>
                <w:b w:val="false"/>
                <w:color w:val="000000"/>
                <w:sz w:val="13"/>
              </w:rPr>
              <w:t>(2)</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costs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w:t>
            </w:r>
            <w:r>
              <w:rPr>
                <w:rFonts w:ascii="Arial;sans-serif" w:hAnsi="Arial;sans-serif"/>
                <w:b w:val="false"/>
                <w:color w:val="000000"/>
                <w:sz w:val="13"/>
              </w:rPr>
              <w:t>(4)</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effect related to adjustments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(10,863)</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(10,863)</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net income (loss)</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223,868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(104,372)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149,373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50,137 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50,137 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 related to the adjustments above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w:t>
            </w:r>
            <w:r>
              <w:rPr>
                <w:rFonts w:ascii="Arial;sans-serif" w:hAnsi="Arial;sans-serif"/>
                <w:b w:val="false"/>
                <w:color w:val="000000"/>
                <w:sz w:val="13"/>
              </w:rPr>
              <w:t>(5)</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5,196 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227,426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240,725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a % of Revenue</w:t>
            </w:r>
          </w:p>
        </w:tc>
        <w:tc>
          <w:tcPr>
            <w:tcW w:w="13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(1)This table reconciles Adjusted net income (loss), Adjusted diluted EPS, Adjusted EBITDA, and Adjusted EBITDA margin to the most directly comparable GAAP financial measures. Adjusted net income (loss), Adjusted diluted EPS, Adjusted EBITDA, and Adjusted EBITDA margin exclude the impact of the Transaction and other significant non-operating related gains and losses that management does not consider on-going in nature. Please refer to the 'Non-GAAP Financial Measures' section for further management discussion. </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(2)These costs include, but are not limited to, certain consulting, technology, personnel, as well as other integration costs related to the Transaction.</w:t>
      </w:r>
    </w:p>
    <w:p>
      <w:pPr>
        <w:pStyle w:val="TextBody"/>
        <w:bidi w:val="0"/>
        <w:spacing w:before="12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76300"/>
                <wp:effectExtent l="0" t="0" r="0" b="0"/>
                <wp:wrapNone/>
                <wp:docPr id="17" name="Frame15"/>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12</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12</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(3)Gain related the finalization of working capital and related purchase price adjustments associated with the Transaction. </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(4)Stock-based compensation expense reported for the three months ended March 31, 2026 and 2025 excluded $3.2 million and $3.3 million, respectively, of stock-based compensation expense reported as “Integration costs related to acquisitions” above. </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(5)Depreciation expense reported for the three months ended March 31, 2026 and 2025 excluded $16 thousand and $0.9 million, respectively, of depreciation expense reported as “Integration costs related to acquisitions” above. The accelerated depreciation was associated with certain technology assets from the Transaction.</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76300"/>
                <wp:effectExtent l="0" t="0" r="0" b="0"/>
                <wp:wrapNone/>
                <wp:docPr id="18" name="Frame16"/>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13</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Page 13</w:t>
                      </w:r>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NYSE: CBZ</w:t>
                      </w:r>
                      <w:r>
                        <w:rPr>
                          <w:color w:val="000000"/>
                        </w:rPr>
                        <w:t xml:space="preserve"> ● </w:t>
                      </w:r>
                      <w:r>
                        <w:rPr>
                          <w:rFonts w:ascii="Arial Narrow;sans-serif" w:hAnsi="Arial Narrow;sans-serif"/>
                          <w:b/>
                          <w:color w:val="000000"/>
                          <w:sz w:val="20"/>
                        </w:rPr>
                        <w:t>www.CBIZ.com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5046</Words>
  <Characters>29041</Characters>
  <CharactersWithSpaces>33590</CharactersWithSpaces>
  <Paragraphs>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