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603250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568960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74930</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111125</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16" w:lineRule="exact"/>
        <w:rPr>
          <w:sz w:val="24"/>
          <w:szCs w:val="24"/>
          <w:color w:val="auto"/>
        </w:rPr>
      </w:pPr>
    </w:p>
    <w:p>
      <w:pPr>
        <w:ind w:left="660" w:right="400" w:hanging="634"/>
        <w:spacing w:after="0" w:line="247" w:lineRule="auto"/>
        <w:tabs>
          <w:tab w:leader="none" w:pos="6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2025</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4" w:lineRule="exact"/>
        <w:rPr>
          <w:sz w:val="24"/>
          <w:szCs w:val="24"/>
          <w:color w:val="auto"/>
        </w:rPr>
      </w:pPr>
    </w:p>
    <w:p>
      <w:pPr>
        <w:ind w:left="660" w:right="40" w:hanging="634"/>
        <w:spacing w:after="0" w:line="247" w:lineRule="auto"/>
        <w:tabs>
          <w:tab w:leader="none" w:pos="6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50"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transition period from________ to 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1-32961</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CBIZ, Inc.</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(State or other jurisdiction of incorporation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organization)</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5959 Rockside Woods, N. Suite 600 Independence, Ohio</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22-2769024</w:t>
      </w:r>
    </w:p>
    <w:p>
      <w:pPr>
        <w:spacing w:after="0" w:line="33" w:lineRule="exact"/>
        <w:rPr>
          <w:sz w:val="24"/>
          <w:szCs w:val="24"/>
          <w:color w:val="auto"/>
        </w:rPr>
      </w:pPr>
    </w:p>
    <w:p>
      <w:pPr>
        <w:ind w:left="5100"/>
        <w:spacing w:after="0"/>
        <w:rPr>
          <w:sz w:val="20"/>
          <w:szCs w:val="20"/>
          <w:color w:val="auto"/>
        </w:rPr>
      </w:pPr>
      <w:r>
        <w:rPr>
          <w:rFonts w:ascii="Arial" w:cs="Arial" w:eastAsia="Arial" w:hAnsi="Arial"/>
          <w:sz w:val="14"/>
          <w:szCs w:val="14"/>
          <w:color w:val="auto"/>
        </w:rPr>
        <w:t>(I.R.S. Employer</w:t>
      </w:r>
    </w:p>
    <w:p>
      <w:pPr>
        <w:spacing w:after="0" w:line="15" w:lineRule="exact"/>
        <w:rPr>
          <w:sz w:val="24"/>
          <w:szCs w:val="24"/>
          <w:color w:val="auto"/>
        </w:rPr>
      </w:pPr>
    </w:p>
    <w:p>
      <w:pPr>
        <w:ind w:left="5060"/>
        <w:spacing w:after="0"/>
        <w:rPr>
          <w:sz w:val="20"/>
          <w:szCs w:val="20"/>
          <w:color w:val="auto"/>
        </w:rPr>
      </w:pPr>
      <w:r>
        <w:rPr>
          <w:rFonts w:ascii="Arial" w:cs="Arial" w:eastAsia="Arial" w:hAnsi="Arial"/>
          <w:sz w:val="14"/>
          <w:szCs w:val="14"/>
          <w:color w:val="auto"/>
        </w:rPr>
        <w:t>Identification No.)</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44131</w:t>
      </w:r>
    </w:p>
    <w:p>
      <w:pPr>
        <w:spacing w:after="0" w:line="33" w:lineRule="exact"/>
        <w:rPr>
          <w:sz w:val="24"/>
          <w:szCs w:val="24"/>
          <w:color w:val="auto"/>
        </w:rPr>
      </w:pPr>
    </w:p>
    <w:p>
      <w:pPr>
        <w:ind w:left="5280"/>
        <w:spacing w:after="0"/>
        <w:rPr>
          <w:sz w:val="20"/>
          <w:szCs w:val="20"/>
          <w:color w:val="auto"/>
        </w:rPr>
      </w:pPr>
      <w:r>
        <w:rPr>
          <w:rFonts w:ascii="Arial" w:cs="Arial" w:eastAsia="Arial" w:hAnsi="Arial"/>
          <w:sz w:val="14"/>
          <w:szCs w:val="14"/>
          <w:color w:val="auto"/>
        </w:rPr>
        <w:t>(Zip Code)</w:t>
      </w:r>
    </w:p>
    <w:p>
      <w:pPr>
        <w:spacing w:after="0" w:line="15" w:lineRule="exact"/>
        <w:rPr>
          <w:sz w:val="24"/>
          <w:szCs w:val="24"/>
          <w:color w:val="auto"/>
        </w:rPr>
      </w:pPr>
    </w:p>
    <w:p>
      <w:pPr>
        <w:ind w:left="5140"/>
        <w:spacing w:after="0"/>
        <w:rPr>
          <w:sz w:val="20"/>
          <w:szCs w:val="20"/>
          <w:color w:val="auto"/>
        </w:rPr>
      </w:pPr>
      <w:r>
        <w:rPr>
          <w:rFonts w:ascii="Arial" w:cs="Arial" w:eastAsia="Arial" w:hAnsi="Arial"/>
          <w:sz w:val="14"/>
          <w:szCs w:val="14"/>
          <w:b w:val="1"/>
          <w:bCs w:val="1"/>
          <w:color w:val="auto"/>
        </w:rPr>
        <w:t>(216) 447-9000</w:t>
      </w:r>
    </w:p>
    <w:p>
      <w:pPr>
        <w:spacing w:after="0" w:line="15" w:lineRule="exact"/>
        <w:rPr>
          <w:sz w:val="24"/>
          <w:szCs w:val="24"/>
          <w:color w:val="auto"/>
        </w:rPr>
      </w:pPr>
    </w:p>
    <w:p>
      <w:pPr>
        <w:ind w:left="3940"/>
        <w:spacing w:after="0"/>
        <w:rPr>
          <w:sz w:val="20"/>
          <w:szCs w:val="20"/>
          <w:color w:val="auto"/>
        </w:rPr>
      </w:pPr>
      <w:r>
        <w:rPr>
          <w:rFonts w:ascii="Arial" w:cs="Arial" w:eastAsia="Arial" w:hAnsi="Arial"/>
          <w:sz w:val="14"/>
          <w:szCs w:val="14"/>
          <w:color w:val="auto"/>
        </w:rPr>
        <w:t>(Registrant’s telephone number, including area code)</w:t>
      </w:r>
    </w:p>
    <w:p>
      <w:pPr>
        <w:spacing w:after="0" w:line="15" w:lineRule="exact"/>
        <w:rPr>
          <w:sz w:val="24"/>
          <w:szCs w:val="24"/>
          <w:color w:val="auto"/>
        </w:rPr>
      </w:pPr>
    </w:p>
    <w:p>
      <w:pPr>
        <w:ind w:left="5120"/>
        <w:spacing w:after="0"/>
        <w:rPr>
          <w:sz w:val="20"/>
          <w:szCs w:val="20"/>
          <w:color w:val="auto"/>
        </w:rPr>
      </w:pPr>
      <w:r>
        <w:rPr>
          <w:rFonts w:ascii="Arial" w:cs="Arial" w:eastAsia="Arial" w:hAnsi="Arial"/>
          <w:sz w:val="14"/>
          <w:szCs w:val="14"/>
          <w:b w:val="1"/>
          <w:bCs w:val="1"/>
          <w:color w:val="auto"/>
        </w:rPr>
        <w:t>Not Applicable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83185</wp:posOffset>
            </wp:positionV>
            <wp:extent cx="2777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9" w:lineRule="exact"/>
        <w:rPr>
          <w:sz w:val="24"/>
          <w:szCs w:val="24"/>
          <w:color w:val="auto"/>
        </w:rPr>
      </w:pPr>
    </w:p>
    <w:tbl>
      <w:tblPr>
        <w:tblLayout w:type="fixed"/>
        <w:tblInd w:w="30" w:type="dxa"/>
        <w:tblCellMar>
          <w:top w:w="0" w:type="dxa"/>
          <w:left w:w="0" w:type="dxa"/>
          <w:bottom w:w="0" w:type="dxa"/>
          <w:right w:w="0" w:type="dxa"/>
        </w:tblCellMar>
      </w:tblPr>
      <w:tr>
        <w:trPr>
          <w:trHeight w:val="20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196"/>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CBZ</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328" w:lineRule="exact"/>
        <w:rPr>
          <w:sz w:val="24"/>
          <w:szCs w:val="24"/>
          <w:color w:val="auto"/>
        </w:rPr>
      </w:pPr>
    </w:p>
    <w:p>
      <w:pPr>
        <w:ind w:right="10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22" w:lineRule="exact"/>
        <w:rPr>
          <w:sz w:val="24"/>
          <w:szCs w:val="24"/>
          <w:color w:val="auto"/>
        </w:rPr>
      </w:pPr>
    </w:p>
    <w:p>
      <w:pPr>
        <w:ind w:right="52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22" w:lineRule="exact"/>
        <w:rPr>
          <w:sz w:val="24"/>
          <w:szCs w:val="24"/>
          <w:color w:val="auto"/>
        </w:rPr>
      </w:pPr>
    </w:p>
    <w:p>
      <w:pPr>
        <w:ind w:right="280"/>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ind w:left="2160"/>
              <w:spacing w:after="0"/>
              <w:rPr>
                <w:sz w:val="20"/>
                <w:szCs w:val="20"/>
                <w:color w:val="auto"/>
              </w:rPr>
            </w:pPr>
            <w:r>
              <w:rPr>
                <w:rFonts w:ascii="Arial" w:cs="Arial" w:eastAsia="Arial" w:hAnsi="Arial"/>
                <w:sz w:val="14"/>
                <w:szCs w:val="14"/>
                <w:color w:val="auto"/>
              </w:rPr>
              <w:t>Accelerated filer</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120" w:type="dxa"/>
            <w:vAlign w:val="bottom"/>
          </w:tcPr>
          <w:p>
            <w:pPr>
              <w:spacing w:after="0"/>
              <w:rPr>
                <w:sz w:val="20"/>
                <w:szCs w:val="20"/>
                <w:color w:val="auto"/>
              </w:rPr>
            </w:pPr>
            <w:r>
              <w:rPr>
                <w:rFonts w:ascii="Arial" w:cs="Arial" w:eastAsia="Arial" w:hAnsi="Arial"/>
                <w:sz w:val="14"/>
                <w:szCs w:val="14"/>
                <w:color w:val="auto"/>
              </w:rPr>
              <w:t>Non-accelerated filer</w:t>
            </w:r>
          </w:p>
        </w:tc>
        <w:tc>
          <w:tcPr>
            <w:tcW w:w="27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ind w:left="2160"/>
              <w:spacing w:after="0"/>
              <w:rPr>
                <w:sz w:val="20"/>
                <w:szCs w:val="20"/>
                <w:color w:val="auto"/>
              </w:rPr>
            </w:pPr>
            <w:r>
              <w:rPr>
                <w:rFonts w:ascii="Arial" w:cs="Arial" w:eastAsia="Arial" w:hAnsi="Arial"/>
                <w:sz w:val="14"/>
                <w:szCs w:val="14"/>
                <w:color w:val="auto"/>
              </w:rPr>
              <w:t>Smaller reporting company</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1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7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330" w:lineRule="exact"/>
        <w:rPr>
          <w:sz w:val="24"/>
          <w:szCs w:val="24"/>
          <w:color w:val="auto"/>
        </w:rPr>
      </w:pPr>
    </w:p>
    <w:p>
      <w:pPr>
        <w:ind w:right="30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1" w:lineRule="exact"/>
        <w:rPr>
          <w:sz w:val="24"/>
          <w:szCs w:val="24"/>
          <w:color w:val="auto"/>
        </w:rPr>
      </w:pPr>
    </w:p>
    <w:p>
      <w:pPr>
        <w:spacing w:after="0" w:line="161" w:lineRule="exact"/>
        <w:tabs>
          <w:tab w:leader="none" w:pos="77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Class of Common Stock</w:t>
            </w:r>
          </w:p>
        </w:tc>
        <w:tc>
          <w:tcPr>
            <w:tcW w:w="3780" w:type="dxa"/>
            <w:vAlign w:val="bottom"/>
          </w:tcPr>
          <w:p>
            <w:pPr>
              <w:spacing w:after="0"/>
              <w:rPr>
                <w:sz w:val="14"/>
                <w:szCs w:val="14"/>
                <w:color w:val="auto"/>
              </w:rPr>
            </w:pPr>
          </w:p>
        </w:tc>
        <w:tc>
          <w:tcPr>
            <w:tcW w:w="3880" w:type="dxa"/>
            <w:vAlign w:val="bottom"/>
            <w:gridSpan w:val="3"/>
          </w:tcPr>
          <w:p>
            <w:pPr>
              <w:jc w:val="center"/>
              <w:ind w:right="1800"/>
              <w:spacing w:after="0"/>
              <w:rPr>
                <w:sz w:val="20"/>
                <w:szCs w:val="20"/>
                <w:color w:val="auto"/>
              </w:rPr>
            </w:pPr>
            <w:r>
              <w:rPr>
                <w:rFonts w:ascii="Arial" w:cs="Arial" w:eastAsia="Arial" w:hAnsi="Arial"/>
                <w:sz w:val="14"/>
                <w:szCs w:val="14"/>
                <w:color w:val="auto"/>
              </w:rPr>
              <w:t>Outstanding at October 24, 2025</w:t>
            </w:r>
          </w:p>
        </w:tc>
      </w:tr>
      <w:tr>
        <w:trPr>
          <w:trHeight w:val="20"/>
        </w:trPr>
        <w:tc>
          <w:tcPr>
            <w:tcW w:w="20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5"/>
        </w:trPr>
        <w:tc>
          <w:tcPr>
            <w:tcW w:w="7360" w:type="dxa"/>
            <w:vAlign w:val="bottom"/>
            <w:gridSpan w:val="3"/>
          </w:tcPr>
          <w:p>
            <w:pPr>
              <w:jc w:val="center"/>
              <w:ind w:right="1740"/>
              <w:spacing w:after="0"/>
              <w:rPr>
                <w:sz w:val="20"/>
                <w:szCs w:val="20"/>
                <w:color w:val="auto"/>
              </w:rPr>
            </w:pPr>
            <w:r>
              <w:rPr>
                <w:rFonts w:ascii="Arial" w:cs="Arial" w:eastAsia="Arial" w:hAnsi="Arial"/>
                <w:sz w:val="14"/>
                <w:szCs w:val="14"/>
                <w:color w:val="auto"/>
              </w:rPr>
              <w:t>Common Stock, $0.01 par value</w:t>
            </w:r>
          </w:p>
        </w:tc>
        <w:tc>
          <w:tcPr>
            <w:tcW w:w="2080" w:type="dxa"/>
            <w:vAlign w:val="bottom"/>
          </w:tcPr>
          <w:p>
            <w:pPr>
              <w:jc w:val="right"/>
              <w:ind w:right="608"/>
              <w:spacing w:after="0"/>
              <w:rPr>
                <w:sz w:val="20"/>
                <w:szCs w:val="20"/>
                <w:color w:val="auto"/>
              </w:rPr>
            </w:pPr>
            <w:r>
              <w:rPr>
                <w:rFonts w:ascii="Arial" w:cs="Arial" w:eastAsia="Arial" w:hAnsi="Arial"/>
                <w:sz w:val="14"/>
                <w:szCs w:val="14"/>
                <w:color w:val="auto"/>
              </w:rPr>
              <w:t>54,401,424</w:t>
            </w: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29"/>
        </w:trPr>
        <w:tc>
          <w:tcPr>
            <w:tcW w:w="20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378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34"/>
        </w:trPr>
        <w:tc>
          <w:tcPr>
            <w:tcW w:w="2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567"/>
        </w:trPr>
        <w:tc>
          <w:tcPr>
            <w:tcW w:w="20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2" w:right="339" w:bottom="568"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CBIZ,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Arial" w:cs="Arial" w:eastAsia="Arial" w:hAnsi="Arial"/>
                <w:sz w:val="18"/>
                <w:szCs w:val="18"/>
                <w:color w:val="0000FF"/>
                <w:w w:val="91"/>
              </w:rPr>
              <w:t>PART I.</w:t>
            </w:r>
          </w:p>
        </w:tc>
        <w:tc>
          <w:tcPr>
            <w:tcW w:w="480" w:type="dxa"/>
            <w:vAlign w:val="bottom"/>
          </w:tcPr>
          <w:p>
            <w:pPr>
              <w:spacing w:after="0"/>
              <w:rPr>
                <w:sz w:val="17"/>
                <w:szCs w:val="17"/>
                <w:color w:val="auto"/>
              </w:rPr>
            </w:pPr>
          </w:p>
        </w:tc>
        <w:tc>
          <w:tcPr>
            <w:tcW w:w="9480" w:type="dxa"/>
            <w:vAlign w:val="bottom"/>
            <w:gridSpan w:val="24"/>
          </w:tcPr>
          <w:p>
            <w:pPr>
              <w:spacing w:after="0"/>
              <w:rPr>
                <w:sz w:val="20"/>
                <w:szCs w:val="20"/>
                <w:color w:val="auto"/>
              </w:rPr>
            </w:pPr>
            <w:r>
              <w:rPr>
                <w:rFonts w:ascii="Arial" w:cs="Arial" w:eastAsia="Arial" w:hAnsi="Arial"/>
                <w:sz w:val="18"/>
                <w:szCs w:val="18"/>
                <w:color w:val="0000FF"/>
              </w:rPr>
              <w:t>FINANCIAL INFORMATION:</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8300" w:type="dxa"/>
            <w:vAlign w:val="bottom"/>
            <w:gridSpan w:val="20"/>
          </w:tcPr>
          <w:p>
            <w:pPr>
              <w:spacing w:after="0"/>
              <w:rPr>
                <w:sz w:val="20"/>
                <w:szCs w:val="20"/>
                <w:color w:val="auto"/>
              </w:rPr>
            </w:pPr>
            <w:r>
              <w:rPr>
                <w:rFonts w:ascii="Arial" w:cs="Arial" w:eastAsia="Arial" w:hAnsi="Arial"/>
                <w:sz w:val="18"/>
                <w:szCs w:val="18"/>
                <w:color w:val="0000FF"/>
              </w:rPr>
              <w:t>Financial Statements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60" w:type="dxa"/>
            <w:vAlign w:val="bottom"/>
            <w:gridSpan w:val="17"/>
          </w:tcPr>
          <w:p>
            <w:pPr>
              <w:spacing w:after="0"/>
              <w:rPr>
                <w:sz w:val="20"/>
                <w:szCs w:val="20"/>
                <w:color w:val="auto"/>
              </w:rPr>
            </w:pPr>
            <w:r>
              <w:rPr>
                <w:rFonts w:ascii="Arial" w:cs="Arial" w:eastAsia="Arial" w:hAnsi="Arial"/>
                <w:sz w:val="18"/>
                <w:szCs w:val="18"/>
                <w:color w:val="0000FF"/>
                <w:w w:val="98"/>
              </w:rPr>
              <w:t>Condensed Consolidated Balance Sheets (Unaudited) – September 30, 2025 and December 31, 2024</w:t>
            </w:r>
          </w:p>
        </w:tc>
        <w:tc>
          <w:tcPr>
            <w:tcW w:w="240" w:type="dxa"/>
            <w:vAlign w:val="bottom"/>
            <w:gridSpan w:val="3"/>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0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Comprehensive Income (Unaudited) – Three and Nine Months</w:t>
            </w:r>
          </w:p>
        </w:tc>
        <w:tc>
          <w:tcPr>
            <w:tcW w:w="6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120" w:type="dxa"/>
            <w:vAlign w:val="bottom"/>
            <w:tcBorders>
              <w:top w:val="single" w:sz="8" w:color="0000FF"/>
            </w:tcBorders>
            <w:gridSpan w:val="19"/>
          </w:tcPr>
          <w:p>
            <w:pPr>
              <w:spacing w:after="0" w:line="142" w:lineRule="exact"/>
              <w:rPr>
                <w:sz w:val="20"/>
                <w:szCs w:val="20"/>
                <w:color w:val="auto"/>
              </w:rPr>
            </w:pPr>
            <w:r>
              <w:rPr>
                <w:rFonts w:ascii="Arial" w:cs="Arial" w:eastAsia="Arial" w:hAnsi="Arial"/>
                <w:sz w:val="16"/>
                <w:szCs w:val="16"/>
                <w:color w:val="0000FF"/>
              </w:rPr>
              <w:t>Ended September 30, 2025 and 2024</w:t>
            </w:r>
          </w:p>
        </w:tc>
        <w:tc>
          <w:tcPr>
            <w:tcW w:w="180" w:type="dxa"/>
            <w:vAlign w:val="bottom"/>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0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Stockholders’ Equity (Unaudited) – Three and Nine Months</w:t>
            </w:r>
          </w:p>
        </w:tc>
        <w:tc>
          <w:tcPr>
            <w:tcW w:w="6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0" w:type="dxa"/>
            <w:vAlign w:val="bottom"/>
            <w:tcBorders>
              <w:top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Ended September 30, 2025 and 2024</w:t>
            </w:r>
          </w:p>
        </w:tc>
        <w:tc>
          <w:tcPr>
            <w:tcW w:w="4860" w:type="dxa"/>
            <w:vAlign w:val="bottom"/>
            <w:tcBorders>
              <w:top w:val="single" w:sz="8" w:color="0000FF"/>
            </w:tcBorders>
            <w:gridSpan w:val="5"/>
          </w:tcPr>
          <w:p>
            <w:pPr>
              <w:spacing w:after="0"/>
              <w:rPr>
                <w:sz w:val="13"/>
                <w:szCs w:val="13"/>
                <w:color w:val="auto"/>
              </w:rPr>
            </w:pPr>
          </w:p>
        </w:tc>
        <w:tc>
          <w:tcPr>
            <w:tcW w:w="24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0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Cash Flows (Unaudited) – Nine Months Ended September 30,</w:t>
            </w:r>
          </w:p>
        </w:tc>
        <w:tc>
          <w:tcPr>
            <w:tcW w:w="6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100" w:type="dxa"/>
            <w:vAlign w:val="bottom"/>
            <w:tcBorders>
              <w:top w:val="single" w:sz="8" w:color="0000FF"/>
            </w:tcBorders>
            <w:gridSpan w:val="18"/>
          </w:tcPr>
          <w:p>
            <w:pPr>
              <w:spacing w:after="0" w:line="142" w:lineRule="exact"/>
              <w:rPr>
                <w:sz w:val="20"/>
                <w:szCs w:val="20"/>
                <w:color w:val="auto"/>
              </w:rPr>
            </w:pPr>
            <w:r>
              <w:rPr>
                <w:rFonts w:ascii="Arial" w:cs="Arial" w:eastAsia="Arial" w:hAnsi="Arial"/>
                <w:sz w:val="16"/>
                <w:szCs w:val="16"/>
                <w:color w:val="0000FF"/>
              </w:rPr>
              <w:t>2025 and 2024</w:t>
            </w:r>
          </w:p>
        </w:tc>
        <w:tc>
          <w:tcPr>
            <w:tcW w:w="200" w:type="dxa"/>
            <w:vAlign w:val="bottom"/>
            <w:gridSpan w:val="2"/>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0" w:type="dxa"/>
            <w:vAlign w:val="bottom"/>
            <w:gridSpan w:val="3"/>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gridSpan w:val="5"/>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8"/>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00" w:type="dxa"/>
            <w:vAlign w:val="bottom"/>
            <w:gridSpan w:val="20"/>
          </w:tcPr>
          <w:p>
            <w:pPr>
              <w:spacing w:after="0"/>
              <w:rPr>
                <w:sz w:val="20"/>
                <w:szCs w:val="20"/>
                <w:color w:val="auto"/>
              </w:rPr>
            </w:pPr>
            <w:r>
              <w:rPr>
                <w:rFonts w:ascii="Arial" w:cs="Arial" w:eastAsia="Arial" w:hAnsi="Arial"/>
                <w:sz w:val="18"/>
                <w:szCs w:val="18"/>
                <w:color w:val="0000FF"/>
              </w:rPr>
              <w:t>Notes to the Condensed Consolidated Financial Statements (Unaudited)</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520" w:type="dxa"/>
            <w:vAlign w:val="bottom"/>
            <w:gridSpan w:val="2"/>
          </w:tcPr>
          <w:p>
            <w:pPr>
              <w:spacing w:after="0"/>
              <w:rPr>
                <w:sz w:val="24"/>
                <w:szCs w:val="24"/>
                <w:color w:val="auto"/>
              </w:rPr>
            </w:pPr>
          </w:p>
        </w:tc>
        <w:tc>
          <w:tcPr>
            <w:tcW w:w="830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23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rPr>
              <w:t>Item 3.</w:t>
            </w:r>
          </w:p>
        </w:tc>
        <w:tc>
          <w:tcPr>
            <w:tcW w:w="520" w:type="dxa"/>
            <w:vAlign w:val="bottom"/>
            <w:gridSpan w:val="2"/>
          </w:tcPr>
          <w:p>
            <w:pPr>
              <w:spacing w:after="0"/>
              <w:rPr>
                <w:sz w:val="24"/>
                <w:szCs w:val="24"/>
                <w:color w:val="auto"/>
              </w:rPr>
            </w:pPr>
          </w:p>
        </w:tc>
        <w:tc>
          <w:tcPr>
            <w:tcW w:w="830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40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0000FF"/>
              </w:rPr>
              <w:t>Item 4.</w:t>
            </w:r>
          </w:p>
        </w:tc>
        <w:tc>
          <w:tcPr>
            <w:tcW w:w="830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gridSpan w:val="2"/>
          </w:tcPr>
          <w:p>
            <w:pPr>
              <w:spacing w:after="0"/>
              <w:rPr>
                <w:sz w:val="20"/>
                <w:szCs w:val="20"/>
                <w:color w:val="auto"/>
              </w:rPr>
            </w:pPr>
            <w:r>
              <w:rPr>
                <w:rFonts w:ascii="Arial" w:cs="Arial" w:eastAsia="Arial" w:hAnsi="Arial"/>
                <w:sz w:val="18"/>
                <w:szCs w:val="18"/>
                <w:color w:val="0000FF"/>
              </w:rPr>
              <w:t>PART II.</w:t>
            </w:r>
          </w:p>
        </w:tc>
        <w:tc>
          <w:tcPr>
            <w:tcW w:w="9480" w:type="dxa"/>
            <w:vAlign w:val="bottom"/>
            <w:gridSpan w:val="24"/>
          </w:tcPr>
          <w:p>
            <w:pPr>
              <w:spacing w:after="0"/>
              <w:rPr>
                <w:sz w:val="20"/>
                <w:szCs w:val="20"/>
                <w:color w:val="auto"/>
              </w:rPr>
            </w:pPr>
            <w:r>
              <w:rPr>
                <w:rFonts w:ascii="Arial" w:cs="Arial" w:eastAsia="Arial" w:hAnsi="Arial"/>
                <w:sz w:val="18"/>
                <w:szCs w:val="18"/>
                <w:color w:val="0000FF"/>
              </w:rPr>
              <w:t>OTHER INFORMATION:</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rPr>
              <w:t>Item 1.</w:t>
            </w:r>
          </w:p>
        </w:tc>
        <w:tc>
          <w:tcPr>
            <w:tcW w:w="520" w:type="dxa"/>
            <w:vAlign w:val="bottom"/>
            <w:gridSpan w:val="2"/>
          </w:tcPr>
          <w:p>
            <w:pPr>
              <w:spacing w:after="0"/>
              <w:rPr>
                <w:sz w:val="24"/>
                <w:szCs w:val="24"/>
                <w:color w:val="auto"/>
              </w:rPr>
            </w:pPr>
          </w:p>
        </w:tc>
        <w:tc>
          <w:tcPr>
            <w:tcW w:w="830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0000FF"/>
              </w:rPr>
              <w:t>Item 1A.</w:t>
            </w:r>
          </w:p>
        </w:tc>
        <w:tc>
          <w:tcPr>
            <w:tcW w:w="830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520" w:type="dxa"/>
            <w:vAlign w:val="bottom"/>
            <w:gridSpan w:val="2"/>
          </w:tcPr>
          <w:p>
            <w:pPr>
              <w:spacing w:after="0"/>
              <w:rPr>
                <w:sz w:val="24"/>
                <w:szCs w:val="24"/>
                <w:color w:val="auto"/>
              </w:rPr>
            </w:pPr>
          </w:p>
        </w:tc>
        <w:tc>
          <w:tcPr>
            <w:tcW w:w="830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0000FF"/>
              </w:rPr>
              <w:t>Item 3.</w:t>
            </w:r>
          </w:p>
        </w:tc>
        <w:tc>
          <w:tcPr>
            <w:tcW w:w="8300" w:type="dxa"/>
            <w:vAlign w:val="bottom"/>
            <w:gridSpan w:val="20"/>
          </w:tcPr>
          <w:p>
            <w:pPr>
              <w:spacing w:after="0"/>
              <w:rPr>
                <w:sz w:val="20"/>
                <w:szCs w:val="20"/>
                <w:color w:val="auto"/>
              </w:rPr>
            </w:pPr>
            <w:r>
              <w:rPr>
                <w:rFonts w:ascii="Arial" w:cs="Arial" w:eastAsia="Arial" w:hAnsi="Arial"/>
                <w:sz w:val="18"/>
                <w:szCs w:val="18"/>
                <w:color w:val="0000FF"/>
              </w:rPr>
              <w:t>Defaults Upon Senior Securities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582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0000FF"/>
              </w:rPr>
              <w:t>Item 4.</w:t>
            </w:r>
          </w:p>
        </w:tc>
        <w:tc>
          <w:tcPr>
            <w:tcW w:w="420" w:type="dxa"/>
            <w:vAlign w:val="bottom"/>
          </w:tcPr>
          <w:p>
            <w:pPr>
              <w:spacing w:after="0"/>
              <w:rPr>
                <w:sz w:val="24"/>
                <w:szCs w:val="24"/>
                <w:color w:val="auto"/>
              </w:rPr>
            </w:pPr>
          </w:p>
        </w:tc>
        <w:tc>
          <w:tcPr>
            <w:tcW w:w="830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440" w:type="dxa"/>
            <w:vAlign w:val="bottom"/>
            <w:gridSpan w:val="11"/>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0000FF"/>
              </w:rPr>
              <w:t>Item 5.</w:t>
            </w:r>
          </w:p>
        </w:tc>
        <w:tc>
          <w:tcPr>
            <w:tcW w:w="420" w:type="dxa"/>
            <w:vAlign w:val="bottom"/>
          </w:tcPr>
          <w:p>
            <w:pPr>
              <w:spacing w:after="0"/>
              <w:rPr>
                <w:sz w:val="24"/>
                <w:szCs w:val="24"/>
                <w:color w:val="auto"/>
              </w:rPr>
            </w:pPr>
          </w:p>
        </w:tc>
        <w:tc>
          <w:tcPr>
            <w:tcW w:w="830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6980" w:type="dxa"/>
            <w:vAlign w:val="bottom"/>
            <w:gridSpan w:val="1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0000FF"/>
              </w:rPr>
              <w:t>Item 6.</w:t>
            </w:r>
          </w:p>
        </w:tc>
        <w:tc>
          <w:tcPr>
            <w:tcW w:w="8300" w:type="dxa"/>
            <w:vAlign w:val="bottom"/>
            <w:gridSpan w:val="20"/>
          </w:tcPr>
          <w:p>
            <w:pPr>
              <w:spacing w:after="0"/>
              <w:rPr>
                <w:sz w:val="20"/>
                <w:szCs w:val="20"/>
                <w:color w:val="auto"/>
              </w:rPr>
            </w:pPr>
            <w:r>
              <w:rPr>
                <w:rFonts w:ascii="Arial" w:cs="Arial" w:eastAsia="Arial" w:hAnsi="Arial"/>
                <w:sz w:val="18"/>
                <w:szCs w:val="18"/>
                <w:color w:val="0000FF"/>
              </w:rPr>
              <w:t>Exhibits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44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0000FF"/>
              </w:rPr>
              <w:t>Signature</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45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90" w:right="37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CBIZ, INC. AND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w:t>
      </w:r>
    </w:p>
    <w:p>
      <w:pPr>
        <w:spacing w:after="0" w:line="29"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40" w:type="dxa"/>
            <w:vAlign w:val="bottom"/>
          </w:tcPr>
          <w:p>
            <w:pPr>
              <w:jc w:val="right"/>
              <w:ind w:right="2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70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16,969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13,826</w:t>
            </w:r>
          </w:p>
        </w:tc>
        <w:tc>
          <w:tcPr>
            <w:tcW w:w="0" w:type="dxa"/>
            <w:vAlign w:val="bottom"/>
          </w:tcPr>
          <w:p>
            <w:pPr>
              <w:spacing w:after="0"/>
              <w:rPr>
                <w:sz w:val="1"/>
                <w:szCs w:val="1"/>
                <w:color w:val="auto"/>
              </w:rPr>
            </w:pPr>
          </w:p>
        </w:tc>
      </w:tr>
      <w:tr>
        <w:trPr>
          <w:trHeight w:val="198"/>
        </w:trPr>
        <w:tc>
          <w:tcPr>
            <w:tcW w:w="706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44,455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38,661</w:t>
            </w:r>
          </w:p>
        </w:tc>
        <w:tc>
          <w:tcPr>
            <w:tcW w:w="0" w:type="dxa"/>
            <w:vAlign w:val="bottom"/>
          </w:tcPr>
          <w:p>
            <w:pPr>
              <w:spacing w:after="0"/>
              <w:rPr>
                <w:sz w:val="1"/>
                <w:szCs w:val="1"/>
                <w:color w:val="auto"/>
              </w:rPr>
            </w:pPr>
          </w:p>
        </w:tc>
      </w:tr>
      <w:tr>
        <w:trPr>
          <w:trHeight w:val="207"/>
        </w:trPr>
        <w:tc>
          <w:tcPr>
            <w:tcW w:w="7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719,554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534,858</w:t>
            </w:r>
          </w:p>
        </w:tc>
        <w:tc>
          <w:tcPr>
            <w:tcW w:w="0" w:type="dxa"/>
            <w:vAlign w:val="bottom"/>
          </w:tcPr>
          <w:p>
            <w:pPr>
              <w:spacing w:after="0"/>
              <w:rPr>
                <w:sz w:val="1"/>
                <w:szCs w:val="1"/>
                <w:color w:val="auto"/>
              </w:rPr>
            </w:pPr>
          </w:p>
        </w:tc>
      </w:tr>
      <w:tr>
        <w:trPr>
          <w:trHeight w:val="198"/>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assets</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96,655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72,528</w:t>
            </w:r>
          </w:p>
        </w:tc>
        <w:tc>
          <w:tcPr>
            <w:tcW w:w="0" w:type="dxa"/>
            <w:vAlign w:val="bottom"/>
          </w:tcPr>
          <w:p>
            <w:pPr>
              <w:spacing w:after="0"/>
              <w:rPr>
                <w:sz w:val="1"/>
                <w:szCs w:val="1"/>
                <w:color w:val="auto"/>
              </w:rPr>
            </w:pPr>
          </w:p>
        </w:tc>
      </w:tr>
      <w:tr>
        <w:trPr>
          <w:trHeight w:val="200"/>
        </w:trPr>
        <w:tc>
          <w:tcPr>
            <w:tcW w:w="70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Current assets before funds held for clients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877,633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659,873</w:t>
            </w:r>
          </w:p>
        </w:tc>
        <w:tc>
          <w:tcPr>
            <w:tcW w:w="0" w:type="dxa"/>
            <w:vAlign w:val="bottom"/>
          </w:tcPr>
          <w:p>
            <w:pPr>
              <w:spacing w:after="0"/>
              <w:rPr>
                <w:sz w:val="1"/>
                <w:szCs w:val="1"/>
                <w:color w:val="auto"/>
              </w:rPr>
            </w:pPr>
          </w:p>
        </w:tc>
      </w:tr>
      <w:tr>
        <w:trPr>
          <w:trHeight w:val="198"/>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Funds held for clients</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127,782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175,853</w:t>
            </w:r>
          </w:p>
        </w:tc>
        <w:tc>
          <w:tcPr>
            <w:tcW w:w="0" w:type="dxa"/>
            <w:vAlign w:val="bottom"/>
          </w:tcPr>
          <w:p>
            <w:pPr>
              <w:spacing w:after="0"/>
              <w:rPr>
                <w:sz w:val="1"/>
                <w:szCs w:val="1"/>
                <w:color w:val="auto"/>
              </w:rPr>
            </w:pPr>
          </w:p>
        </w:tc>
      </w:tr>
      <w:tr>
        <w:trPr>
          <w:trHeight w:val="200"/>
        </w:trPr>
        <w:tc>
          <w:tcPr>
            <w:tcW w:w="7060" w:type="dxa"/>
            <w:vAlign w:val="bottom"/>
            <w:shd w:val="clear" w:color="auto" w:fill="CCEEFF"/>
          </w:tcPr>
          <w:p>
            <w:pPr>
              <w:ind w:left="460"/>
              <w:spacing w:after="0"/>
              <w:rPr>
                <w:sz w:val="20"/>
                <w:szCs w:val="20"/>
                <w:color w:val="auto"/>
              </w:rPr>
            </w:pPr>
            <w:r>
              <w:rPr>
                <w:rFonts w:ascii="Arial" w:cs="Arial" w:eastAsia="Arial" w:hAnsi="Arial"/>
                <w:sz w:val="14"/>
                <w:szCs w:val="14"/>
                <w:b w:val="1"/>
                <w:bCs w:val="1"/>
                <w:color w:val="auto"/>
              </w:rPr>
              <w:t>Total current assets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1,005,415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835,726</w:t>
            </w:r>
          </w:p>
        </w:tc>
        <w:tc>
          <w:tcPr>
            <w:tcW w:w="0" w:type="dxa"/>
            <w:vAlign w:val="bottom"/>
          </w:tcPr>
          <w:p>
            <w:pPr>
              <w:spacing w:after="0"/>
              <w:rPr>
                <w:sz w:val="1"/>
                <w:szCs w:val="1"/>
                <w:color w:val="auto"/>
              </w:rPr>
            </w:pPr>
          </w:p>
        </w:tc>
      </w:tr>
      <w:tr>
        <w:trPr>
          <w:trHeight w:val="202"/>
        </w:trPr>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Non-current assets: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83,730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88,163</w:t>
            </w:r>
          </w:p>
        </w:tc>
        <w:tc>
          <w:tcPr>
            <w:tcW w:w="0" w:type="dxa"/>
            <w:vAlign w:val="bottom"/>
          </w:tcPr>
          <w:p>
            <w:pPr>
              <w:spacing w:after="0"/>
              <w:rPr>
                <w:sz w:val="1"/>
                <w:szCs w:val="1"/>
                <w:color w:val="auto"/>
              </w:rPr>
            </w:pPr>
          </w:p>
        </w:tc>
      </w:tr>
      <w:tr>
        <w:trPr>
          <w:trHeight w:val="198"/>
        </w:trPr>
        <w:tc>
          <w:tcPr>
            <w:tcW w:w="7060" w:type="dxa"/>
            <w:vAlign w:val="bottom"/>
          </w:tcPr>
          <w:p>
            <w:pPr>
              <w:ind w:left="20"/>
              <w:spacing w:after="0"/>
              <w:rPr>
                <w:sz w:val="20"/>
                <w:szCs w:val="20"/>
                <w:color w:val="auto"/>
              </w:rPr>
            </w:pPr>
            <w:r>
              <w:rPr>
                <w:rFonts w:ascii="Arial" w:cs="Arial" w:eastAsia="Arial" w:hAnsi="Arial"/>
                <w:sz w:val="14"/>
                <w:szCs w:val="14"/>
                <w:color w:val="auto"/>
              </w:rPr>
              <w:t>Goodwill and other intangible assets, net</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2,885,727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2,945,470</w:t>
            </w:r>
          </w:p>
        </w:tc>
        <w:tc>
          <w:tcPr>
            <w:tcW w:w="0" w:type="dxa"/>
            <w:vAlign w:val="bottom"/>
          </w:tcPr>
          <w:p>
            <w:pPr>
              <w:spacing w:after="0"/>
              <w:rPr>
                <w:sz w:val="1"/>
                <w:szCs w:val="1"/>
                <w:color w:val="auto"/>
              </w:rPr>
            </w:pPr>
          </w:p>
        </w:tc>
      </w:tr>
      <w:tr>
        <w:trPr>
          <w:trHeight w:val="207"/>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of deferred compensation plan</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181,127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167,170</w:t>
            </w:r>
          </w:p>
        </w:tc>
        <w:tc>
          <w:tcPr>
            <w:tcW w:w="0" w:type="dxa"/>
            <w:vAlign w:val="bottom"/>
          </w:tcPr>
          <w:p>
            <w:pPr>
              <w:spacing w:after="0"/>
              <w:rPr>
                <w:sz w:val="1"/>
                <w:szCs w:val="1"/>
                <w:color w:val="auto"/>
              </w:rPr>
            </w:pPr>
          </w:p>
        </w:tc>
      </w:tr>
      <w:tr>
        <w:trPr>
          <w:trHeight w:val="198"/>
        </w:trPr>
        <w:tc>
          <w:tcPr>
            <w:tcW w:w="7060" w:type="dxa"/>
            <w:vAlign w:val="bottom"/>
          </w:tcPr>
          <w:p>
            <w:pPr>
              <w:ind w:left="20"/>
              <w:spacing w:after="0"/>
              <w:rPr>
                <w:sz w:val="20"/>
                <w:szCs w:val="20"/>
                <w:color w:val="auto"/>
              </w:rPr>
            </w:pPr>
            <w:r>
              <w:rPr>
                <w:rFonts w:ascii="Arial" w:cs="Arial" w:eastAsia="Arial" w:hAnsi="Arial"/>
                <w:sz w:val="14"/>
                <w:szCs w:val="14"/>
                <w:color w:val="auto"/>
              </w:rPr>
              <w:t>Right-of-use assets, net</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349,101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393,512</w:t>
            </w:r>
          </w:p>
        </w:tc>
        <w:tc>
          <w:tcPr>
            <w:tcW w:w="0" w:type="dxa"/>
            <w:vAlign w:val="bottom"/>
          </w:tcPr>
          <w:p>
            <w:pPr>
              <w:spacing w:after="0"/>
              <w:rPr>
                <w:sz w:val="1"/>
                <w:szCs w:val="1"/>
                <w:color w:val="auto"/>
              </w:rPr>
            </w:pPr>
          </w:p>
        </w:tc>
      </w:tr>
      <w:tr>
        <w:trPr>
          <w:trHeight w:val="207"/>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40,044</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40,842</w:t>
            </w:r>
          </w:p>
        </w:tc>
        <w:tc>
          <w:tcPr>
            <w:tcW w:w="0" w:type="dxa"/>
            <w:vAlign w:val="bottom"/>
          </w:tcPr>
          <w:p>
            <w:pPr>
              <w:spacing w:after="0"/>
              <w:rPr>
                <w:sz w:val="1"/>
                <w:szCs w:val="1"/>
                <w:color w:val="auto"/>
              </w:rPr>
            </w:pPr>
          </w:p>
        </w:tc>
      </w:tr>
      <w:tr>
        <w:trPr>
          <w:trHeight w:val="195"/>
        </w:trPr>
        <w:tc>
          <w:tcPr>
            <w:tcW w:w="7060" w:type="dxa"/>
            <w:vAlign w:val="bottom"/>
            <w:tcBorders>
              <w:bottom w:val="single" w:sz="8" w:color="CCEEFF"/>
            </w:tcBorders>
          </w:tcPr>
          <w:p>
            <w:pPr>
              <w:ind w:left="460"/>
              <w:spacing w:after="0"/>
              <w:rPr>
                <w:sz w:val="20"/>
                <w:szCs w:val="20"/>
                <w:color w:val="auto"/>
              </w:rPr>
            </w:pPr>
            <w:r>
              <w:rPr>
                <w:rFonts w:ascii="Arial" w:cs="Arial" w:eastAsia="Arial" w:hAnsi="Arial"/>
                <w:sz w:val="14"/>
                <w:szCs w:val="14"/>
                <w:b w:val="1"/>
                <w:bCs w:val="1"/>
                <w:color w:val="auto"/>
              </w:rPr>
              <w:t>Total non-current assets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3,539,729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3,635,157</w:t>
            </w:r>
          </w:p>
        </w:tc>
        <w:tc>
          <w:tcPr>
            <w:tcW w:w="0" w:type="dxa"/>
            <w:vAlign w:val="bottom"/>
          </w:tcPr>
          <w:p>
            <w:pPr>
              <w:spacing w:after="0"/>
              <w:rPr>
                <w:sz w:val="1"/>
                <w:szCs w:val="1"/>
                <w:color w:val="auto"/>
              </w:rPr>
            </w:pPr>
          </w:p>
        </w:tc>
      </w:tr>
      <w:tr>
        <w:trPr>
          <w:trHeight w:val="221"/>
        </w:trPr>
        <w:tc>
          <w:tcPr>
            <w:tcW w:w="7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4,545,144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4,470,883</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0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06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99,653</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90,646</w:t>
            </w:r>
          </w:p>
        </w:tc>
        <w:tc>
          <w:tcPr>
            <w:tcW w:w="0" w:type="dxa"/>
            <w:vAlign w:val="bottom"/>
          </w:tcPr>
          <w:p>
            <w:pPr>
              <w:spacing w:after="0"/>
              <w:rPr>
                <w:sz w:val="1"/>
                <w:szCs w:val="1"/>
                <w:color w:val="auto"/>
              </w:rPr>
            </w:pPr>
          </w:p>
        </w:tc>
      </w:tr>
      <w:tr>
        <w:trPr>
          <w:trHeight w:val="207"/>
        </w:trPr>
        <w:tc>
          <w:tcPr>
            <w:tcW w:w="7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taxes payable</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41,712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7060" w:type="dxa"/>
            <w:vAlign w:val="bottom"/>
          </w:tcPr>
          <w:p>
            <w:pPr>
              <w:ind w:left="220"/>
              <w:spacing w:after="0"/>
              <w:rPr>
                <w:sz w:val="20"/>
                <w:szCs w:val="20"/>
                <w:color w:val="auto"/>
              </w:rPr>
            </w:pPr>
            <w:r>
              <w:rPr>
                <w:rFonts w:ascii="Arial" w:cs="Arial" w:eastAsia="Arial" w:hAnsi="Arial"/>
                <w:sz w:val="14"/>
                <w:szCs w:val="14"/>
                <w:color w:val="auto"/>
              </w:rPr>
              <w:t>Accrued personnel costs</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149,367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172,759</w:t>
            </w:r>
          </w:p>
        </w:tc>
        <w:tc>
          <w:tcPr>
            <w:tcW w:w="0" w:type="dxa"/>
            <w:vAlign w:val="bottom"/>
          </w:tcPr>
          <w:p>
            <w:pPr>
              <w:spacing w:after="0"/>
              <w:rPr>
                <w:sz w:val="1"/>
                <w:szCs w:val="1"/>
                <w:color w:val="auto"/>
              </w:rPr>
            </w:pPr>
          </w:p>
        </w:tc>
      </w:tr>
      <w:tr>
        <w:trPr>
          <w:trHeight w:val="207"/>
        </w:trPr>
        <w:tc>
          <w:tcPr>
            <w:tcW w:w="7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Contingent purchase price liabilities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30,506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61,164</w:t>
            </w:r>
          </w:p>
        </w:tc>
        <w:tc>
          <w:tcPr>
            <w:tcW w:w="0" w:type="dxa"/>
            <w:vAlign w:val="bottom"/>
          </w:tcPr>
          <w:p>
            <w:pPr>
              <w:spacing w:after="0"/>
              <w:rPr>
                <w:sz w:val="1"/>
                <w:szCs w:val="1"/>
                <w:color w:val="auto"/>
              </w:rPr>
            </w:pPr>
          </w:p>
        </w:tc>
      </w:tr>
      <w:tr>
        <w:trPr>
          <w:trHeight w:val="198"/>
        </w:trPr>
        <w:tc>
          <w:tcPr>
            <w:tcW w:w="7060" w:type="dxa"/>
            <w:vAlign w:val="bottom"/>
          </w:tcPr>
          <w:p>
            <w:pPr>
              <w:ind w:left="220"/>
              <w:spacing w:after="0"/>
              <w:rPr>
                <w:sz w:val="20"/>
                <w:szCs w:val="20"/>
                <w:color w:val="auto"/>
              </w:rPr>
            </w:pPr>
            <w:r>
              <w:rPr>
                <w:rFonts w:ascii="Arial" w:cs="Arial" w:eastAsia="Arial" w:hAnsi="Arial"/>
                <w:sz w:val="14"/>
                <w:szCs w:val="14"/>
                <w:color w:val="auto"/>
              </w:rPr>
              <w:t>Lease liabilities</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64,183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60,549</w:t>
            </w:r>
          </w:p>
        </w:tc>
        <w:tc>
          <w:tcPr>
            <w:tcW w:w="0" w:type="dxa"/>
            <w:vAlign w:val="bottom"/>
          </w:tcPr>
          <w:p>
            <w:pPr>
              <w:spacing w:after="0"/>
              <w:rPr>
                <w:sz w:val="1"/>
                <w:szCs w:val="1"/>
                <w:color w:val="auto"/>
              </w:rPr>
            </w:pPr>
          </w:p>
        </w:tc>
      </w:tr>
      <w:tr>
        <w:trPr>
          <w:trHeight w:val="207"/>
        </w:trPr>
        <w:tc>
          <w:tcPr>
            <w:tcW w:w="7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Short-term debt </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66,323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66,177</w:t>
            </w:r>
          </w:p>
        </w:tc>
        <w:tc>
          <w:tcPr>
            <w:tcW w:w="0" w:type="dxa"/>
            <w:vAlign w:val="bottom"/>
          </w:tcPr>
          <w:p>
            <w:pPr>
              <w:spacing w:after="0"/>
              <w:rPr>
                <w:sz w:val="1"/>
                <w:szCs w:val="1"/>
                <w:color w:val="auto"/>
              </w:rPr>
            </w:pPr>
          </w:p>
        </w:tc>
      </w:tr>
      <w:tr>
        <w:trPr>
          <w:trHeight w:val="198"/>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62,425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78,579</w:t>
            </w:r>
          </w:p>
        </w:tc>
        <w:tc>
          <w:tcPr>
            <w:tcW w:w="0" w:type="dxa"/>
            <w:vAlign w:val="bottom"/>
          </w:tcPr>
          <w:p>
            <w:pPr>
              <w:spacing w:after="0"/>
              <w:rPr>
                <w:sz w:val="1"/>
                <w:szCs w:val="1"/>
                <w:color w:val="auto"/>
              </w:rPr>
            </w:pPr>
          </w:p>
        </w:tc>
      </w:tr>
      <w:tr>
        <w:trPr>
          <w:trHeight w:val="200"/>
        </w:trPr>
        <w:tc>
          <w:tcPr>
            <w:tcW w:w="70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Current liabilities before client fund obligations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514,169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529,874</w:t>
            </w:r>
          </w:p>
        </w:tc>
        <w:tc>
          <w:tcPr>
            <w:tcW w:w="0" w:type="dxa"/>
            <w:vAlign w:val="bottom"/>
          </w:tcPr>
          <w:p>
            <w:pPr>
              <w:spacing w:after="0"/>
              <w:rPr>
                <w:sz w:val="1"/>
                <w:szCs w:val="1"/>
                <w:color w:val="auto"/>
              </w:rPr>
            </w:pPr>
          </w:p>
        </w:tc>
      </w:tr>
      <w:tr>
        <w:trPr>
          <w:trHeight w:val="198"/>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Client fund obligations</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127,590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175,928</w:t>
            </w:r>
          </w:p>
        </w:tc>
        <w:tc>
          <w:tcPr>
            <w:tcW w:w="0" w:type="dxa"/>
            <w:vAlign w:val="bottom"/>
          </w:tcPr>
          <w:p>
            <w:pPr>
              <w:spacing w:after="0"/>
              <w:rPr>
                <w:sz w:val="1"/>
                <w:szCs w:val="1"/>
                <w:color w:val="auto"/>
              </w:rPr>
            </w:pPr>
          </w:p>
        </w:tc>
      </w:tr>
      <w:tr>
        <w:trPr>
          <w:trHeight w:val="200"/>
        </w:trPr>
        <w:tc>
          <w:tcPr>
            <w:tcW w:w="7060" w:type="dxa"/>
            <w:vAlign w:val="bottom"/>
            <w:shd w:val="clear" w:color="auto" w:fill="CCEEFF"/>
          </w:tcPr>
          <w:p>
            <w:pPr>
              <w:ind w:left="460"/>
              <w:spacing w:after="0"/>
              <w:rPr>
                <w:sz w:val="20"/>
                <w:szCs w:val="20"/>
                <w:color w:val="auto"/>
              </w:rPr>
            </w:pPr>
            <w:r>
              <w:rPr>
                <w:rFonts w:ascii="Arial" w:cs="Arial" w:eastAsia="Arial" w:hAnsi="Arial"/>
                <w:sz w:val="14"/>
                <w:szCs w:val="14"/>
                <w:b w:val="1"/>
                <w:bCs w:val="1"/>
                <w:color w:val="auto"/>
              </w:rPr>
              <w:t>Total current liabilities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641,759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705,802</w:t>
            </w:r>
          </w:p>
        </w:tc>
        <w:tc>
          <w:tcPr>
            <w:tcW w:w="0" w:type="dxa"/>
            <w:vAlign w:val="bottom"/>
          </w:tcPr>
          <w:p>
            <w:pPr>
              <w:spacing w:after="0"/>
              <w:rPr>
                <w:sz w:val="1"/>
                <w:szCs w:val="1"/>
                <w:color w:val="auto"/>
              </w:rPr>
            </w:pPr>
          </w:p>
        </w:tc>
      </w:tr>
      <w:tr>
        <w:trPr>
          <w:trHeight w:val="202"/>
        </w:trPr>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CEEFF"/>
          </w:tcPr>
          <w:p>
            <w:pPr>
              <w:ind w:left="20"/>
              <w:spacing w:after="0" w:line="203" w:lineRule="exact"/>
              <w:rPr>
                <w:sz w:val="20"/>
                <w:szCs w:val="20"/>
                <w:color w:val="auto"/>
              </w:rPr>
            </w:pPr>
            <w:r>
              <w:rPr>
                <w:rFonts w:ascii="Arial" w:cs="Arial" w:eastAsia="Arial" w:hAnsi="Arial"/>
                <w:sz w:val="14"/>
                <w:szCs w:val="14"/>
                <w:color w:val="auto"/>
              </w:rPr>
              <w:t xml:space="preserve">Long-term debt </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1,502,639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1,333,755</w:t>
            </w:r>
          </w:p>
        </w:tc>
        <w:tc>
          <w:tcPr>
            <w:tcW w:w="0" w:type="dxa"/>
            <w:vAlign w:val="bottom"/>
          </w:tcPr>
          <w:p>
            <w:pPr>
              <w:spacing w:after="0"/>
              <w:rPr>
                <w:sz w:val="1"/>
                <w:szCs w:val="1"/>
                <w:color w:val="auto"/>
              </w:rPr>
            </w:pPr>
          </w:p>
        </w:tc>
      </w:tr>
      <w:tr>
        <w:trPr>
          <w:trHeight w:val="199"/>
        </w:trPr>
        <w:tc>
          <w:tcPr>
            <w:tcW w:w="7060" w:type="dxa"/>
            <w:vAlign w:val="bottom"/>
          </w:tcPr>
          <w:p>
            <w:pPr>
              <w:ind w:left="20"/>
              <w:spacing w:after="0"/>
              <w:rPr>
                <w:sz w:val="20"/>
                <w:szCs w:val="20"/>
                <w:color w:val="auto"/>
              </w:rPr>
            </w:pPr>
            <w:r>
              <w:rPr>
                <w:rFonts w:ascii="Arial" w:cs="Arial" w:eastAsia="Arial" w:hAnsi="Arial"/>
                <w:sz w:val="14"/>
                <w:szCs w:val="14"/>
                <w:color w:val="auto"/>
              </w:rPr>
              <w:t>Income taxes payable</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2,961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2,193</w:t>
            </w:r>
          </w:p>
        </w:tc>
        <w:tc>
          <w:tcPr>
            <w:tcW w:w="0" w:type="dxa"/>
            <w:vAlign w:val="bottom"/>
          </w:tcPr>
          <w:p>
            <w:pPr>
              <w:spacing w:after="0"/>
              <w:rPr>
                <w:sz w:val="1"/>
                <w:szCs w:val="1"/>
                <w:color w:val="auto"/>
              </w:rPr>
            </w:pPr>
          </w:p>
        </w:tc>
      </w:tr>
      <w:tr>
        <w:trPr>
          <w:trHeight w:val="206"/>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 net</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10,880</w:t>
            </w:r>
          </w:p>
        </w:tc>
        <w:tc>
          <w:tcPr>
            <w:tcW w:w="0" w:type="dxa"/>
            <w:vAlign w:val="bottom"/>
          </w:tcPr>
          <w:p>
            <w:pPr>
              <w:spacing w:after="0"/>
              <w:rPr>
                <w:sz w:val="1"/>
                <w:szCs w:val="1"/>
                <w:color w:val="auto"/>
              </w:rPr>
            </w:pPr>
          </w:p>
        </w:tc>
      </w:tr>
      <w:tr>
        <w:trPr>
          <w:trHeight w:val="199"/>
        </w:trPr>
        <w:tc>
          <w:tcPr>
            <w:tcW w:w="7060" w:type="dxa"/>
            <w:vAlign w:val="bottom"/>
          </w:tcPr>
          <w:p>
            <w:pPr>
              <w:ind w:left="20"/>
              <w:spacing w:after="0"/>
              <w:rPr>
                <w:sz w:val="20"/>
                <w:szCs w:val="20"/>
                <w:color w:val="auto"/>
              </w:rPr>
            </w:pPr>
            <w:r>
              <w:rPr>
                <w:rFonts w:ascii="Arial" w:cs="Arial" w:eastAsia="Arial" w:hAnsi="Arial"/>
                <w:sz w:val="14"/>
                <w:szCs w:val="14"/>
                <w:color w:val="auto"/>
              </w:rPr>
              <w:t>Deferred compensation plan obligations</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181,127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167,170</w:t>
            </w:r>
          </w:p>
        </w:tc>
        <w:tc>
          <w:tcPr>
            <w:tcW w:w="0" w:type="dxa"/>
            <w:vAlign w:val="bottom"/>
          </w:tcPr>
          <w:p>
            <w:pPr>
              <w:spacing w:after="0"/>
              <w:rPr>
                <w:sz w:val="1"/>
                <w:szCs w:val="1"/>
                <w:color w:val="auto"/>
              </w:rPr>
            </w:pPr>
          </w:p>
        </w:tc>
      </w:tr>
      <w:tr>
        <w:trPr>
          <w:trHeight w:val="206"/>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Contingent purchase price liabilities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35,803</w:t>
            </w:r>
          </w:p>
        </w:tc>
        <w:tc>
          <w:tcPr>
            <w:tcW w:w="0" w:type="dxa"/>
            <w:vAlign w:val="bottom"/>
          </w:tcPr>
          <w:p>
            <w:pPr>
              <w:spacing w:after="0"/>
              <w:rPr>
                <w:sz w:val="1"/>
                <w:szCs w:val="1"/>
                <w:color w:val="auto"/>
              </w:rPr>
            </w:pPr>
          </w:p>
        </w:tc>
      </w:tr>
      <w:tr>
        <w:trPr>
          <w:trHeight w:val="198"/>
        </w:trPr>
        <w:tc>
          <w:tcPr>
            <w:tcW w:w="7060" w:type="dxa"/>
            <w:vAlign w:val="bottom"/>
          </w:tcPr>
          <w:p>
            <w:pPr>
              <w:ind w:left="20"/>
              <w:spacing w:after="0"/>
              <w:rPr>
                <w:sz w:val="20"/>
                <w:szCs w:val="20"/>
                <w:color w:val="auto"/>
              </w:rPr>
            </w:pPr>
            <w:r>
              <w:rPr>
                <w:rFonts w:ascii="Arial" w:cs="Arial" w:eastAsia="Arial" w:hAnsi="Arial"/>
                <w:sz w:val="14"/>
                <w:szCs w:val="14"/>
                <w:color w:val="auto"/>
              </w:rPr>
              <w:t>Lease liabilities</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322,241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372,586</w:t>
            </w:r>
          </w:p>
        </w:tc>
        <w:tc>
          <w:tcPr>
            <w:tcW w:w="0" w:type="dxa"/>
            <w:vAlign w:val="bottom"/>
          </w:tcPr>
          <w:p>
            <w:pPr>
              <w:spacing w:after="0"/>
              <w:rPr>
                <w:sz w:val="1"/>
                <w:szCs w:val="1"/>
                <w:color w:val="auto"/>
              </w:rPr>
            </w:pPr>
          </w:p>
        </w:tc>
      </w:tr>
      <w:tr>
        <w:trPr>
          <w:trHeight w:val="207"/>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6,677</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62,711</w:t>
            </w:r>
          </w:p>
        </w:tc>
        <w:tc>
          <w:tcPr>
            <w:tcW w:w="0" w:type="dxa"/>
            <w:vAlign w:val="bottom"/>
          </w:tcPr>
          <w:p>
            <w:pPr>
              <w:spacing w:after="0"/>
              <w:rPr>
                <w:sz w:val="1"/>
                <w:szCs w:val="1"/>
                <w:color w:val="auto"/>
              </w:rPr>
            </w:pPr>
          </w:p>
        </w:tc>
      </w:tr>
      <w:tr>
        <w:trPr>
          <w:trHeight w:val="195"/>
        </w:trPr>
        <w:tc>
          <w:tcPr>
            <w:tcW w:w="7060" w:type="dxa"/>
            <w:vAlign w:val="bottom"/>
            <w:tcBorders>
              <w:bottom w:val="single" w:sz="8" w:color="CCEEFF"/>
            </w:tcBorders>
          </w:tcPr>
          <w:p>
            <w:pPr>
              <w:ind w:left="460"/>
              <w:spacing w:after="0"/>
              <w:rPr>
                <w:sz w:val="20"/>
                <w:szCs w:val="20"/>
                <w:color w:val="auto"/>
              </w:rPr>
            </w:pPr>
            <w:r>
              <w:rPr>
                <w:rFonts w:ascii="Arial" w:cs="Arial" w:eastAsia="Arial" w:hAnsi="Arial"/>
                <w:sz w:val="14"/>
                <w:szCs w:val="14"/>
                <w:b w:val="1"/>
                <w:bCs w:val="1"/>
                <w:color w:val="auto"/>
              </w:rPr>
              <w:t>Total non-current liabilities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2,031,586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1,985,098</w:t>
            </w:r>
          </w:p>
        </w:tc>
        <w:tc>
          <w:tcPr>
            <w:tcW w:w="0" w:type="dxa"/>
            <w:vAlign w:val="bottom"/>
          </w:tcPr>
          <w:p>
            <w:pPr>
              <w:spacing w:after="0"/>
              <w:rPr>
                <w:sz w:val="1"/>
                <w:szCs w:val="1"/>
                <w:color w:val="auto"/>
              </w:rPr>
            </w:pPr>
          </w:p>
        </w:tc>
      </w:tr>
      <w:tr>
        <w:trPr>
          <w:trHeight w:val="197"/>
        </w:trPr>
        <w:tc>
          <w:tcPr>
            <w:tcW w:w="7060" w:type="dxa"/>
            <w:vAlign w:val="bottom"/>
            <w:shd w:val="clear" w:color="auto" w:fill="CCEEFF"/>
          </w:tcPr>
          <w:p>
            <w:pPr>
              <w:ind w:left="460"/>
              <w:spacing w:after="0"/>
              <w:rPr>
                <w:sz w:val="20"/>
                <w:szCs w:val="20"/>
                <w:color w:val="auto"/>
              </w:rPr>
            </w:pPr>
            <w:r>
              <w:rPr>
                <w:rFonts w:ascii="Arial" w:cs="Arial" w:eastAsia="Arial" w:hAnsi="Arial"/>
                <w:sz w:val="14"/>
                <w:szCs w:val="14"/>
                <w:b w:val="1"/>
                <w:bCs w:val="1"/>
                <w:color w:val="auto"/>
              </w:rPr>
              <w:t>Total liabilities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2,673,345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2,690,900</w:t>
            </w:r>
          </w:p>
        </w:tc>
        <w:tc>
          <w:tcPr>
            <w:tcW w:w="0" w:type="dxa"/>
            <w:vAlign w:val="bottom"/>
          </w:tcPr>
          <w:p>
            <w:pPr>
              <w:spacing w:after="0"/>
              <w:rPr>
                <w:sz w:val="1"/>
                <w:szCs w:val="1"/>
                <w:color w:val="auto"/>
              </w:rPr>
            </w:pPr>
          </w:p>
        </w:tc>
      </w:tr>
      <w:tr>
        <w:trPr>
          <w:trHeight w:val="202"/>
        </w:trPr>
        <w:tc>
          <w:tcPr>
            <w:tcW w:w="7060" w:type="dxa"/>
            <w:vAlign w:val="bottom"/>
          </w:tcPr>
          <w:p>
            <w:pPr>
              <w:jc w:val="center"/>
              <w:spacing w:after="0"/>
              <w:rPr>
                <w:sz w:val="20"/>
                <w:szCs w:val="20"/>
                <w:color w:val="auto"/>
              </w:rPr>
            </w:pPr>
            <w:r>
              <w:rPr>
                <w:rFonts w:ascii="Arial" w:cs="Arial" w:eastAsia="Arial" w:hAnsi="Arial"/>
                <w:sz w:val="14"/>
                <w:szCs w:val="14"/>
                <w:b w:val="1"/>
                <w:bCs w:val="1"/>
                <w:color w:val="auto"/>
              </w:rPr>
              <w:t>STOCKHOLDERS' EQUITY</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1,380</w:t>
            </w:r>
          </w:p>
        </w:tc>
        <w:tc>
          <w:tcPr>
            <w:tcW w:w="0" w:type="dxa"/>
            <w:vAlign w:val="bottom"/>
          </w:tcPr>
          <w:p>
            <w:pPr>
              <w:spacing w:after="0"/>
              <w:rPr>
                <w:sz w:val="1"/>
                <w:szCs w:val="1"/>
                <w:color w:val="auto"/>
              </w:rPr>
            </w:pPr>
          </w:p>
        </w:tc>
      </w:tr>
      <w:tr>
        <w:trPr>
          <w:trHeight w:val="198"/>
        </w:trPr>
        <w:tc>
          <w:tcPr>
            <w:tcW w:w="7060" w:type="dxa"/>
            <w:vAlign w:val="bottom"/>
          </w:tcPr>
          <w:p>
            <w:pPr>
              <w:ind w:left="20"/>
              <w:spacing w:after="0"/>
              <w:rPr>
                <w:sz w:val="20"/>
                <w:szCs w:val="20"/>
                <w:color w:val="auto"/>
              </w:rPr>
            </w:pPr>
            <w:r>
              <w:rPr>
                <w:rFonts w:ascii="Arial" w:cs="Arial" w:eastAsia="Arial" w:hAnsi="Arial"/>
                <w:sz w:val="14"/>
                <w:szCs w:val="14"/>
                <w:color w:val="auto"/>
              </w:rPr>
              <w:t>Additional paid in capital</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1,828,903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1,791,863</w:t>
            </w:r>
          </w:p>
        </w:tc>
        <w:tc>
          <w:tcPr>
            <w:tcW w:w="0" w:type="dxa"/>
            <w:vAlign w:val="bottom"/>
          </w:tcPr>
          <w:p>
            <w:pPr>
              <w:spacing w:after="0"/>
              <w:rPr>
                <w:sz w:val="1"/>
                <w:szCs w:val="1"/>
                <w:color w:val="auto"/>
              </w:rPr>
            </w:pPr>
          </w:p>
        </w:tc>
      </w:tr>
      <w:tr>
        <w:trPr>
          <w:trHeight w:val="207"/>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Retained earnings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1,090,983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896,122</w:t>
            </w:r>
          </w:p>
        </w:tc>
        <w:tc>
          <w:tcPr>
            <w:tcW w:w="0" w:type="dxa"/>
            <w:vAlign w:val="bottom"/>
          </w:tcPr>
          <w:p>
            <w:pPr>
              <w:spacing w:after="0"/>
              <w:rPr>
                <w:sz w:val="1"/>
                <w:szCs w:val="1"/>
                <w:color w:val="auto"/>
              </w:rPr>
            </w:pPr>
          </w:p>
        </w:tc>
      </w:tr>
      <w:tr>
        <w:trPr>
          <w:trHeight w:val="198"/>
        </w:trPr>
        <w:tc>
          <w:tcPr>
            <w:tcW w:w="7060" w:type="dxa"/>
            <w:vAlign w:val="bottom"/>
          </w:tcPr>
          <w:p>
            <w:pPr>
              <w:ind w:left="20"/>
              <w:spacing w:after="0"/>
              <w:rPr>
                <w:sz w:val="20"/>
                <w:szCs w:val="20"/>
                <w:color w:val="auto"/>
              </w:rPr>
            </w:pPr>
            <w:r>
              <w:rPr>
                <w:rFonts w:ascii="Arial" w:cs="Arial" w:eastAsia="Arial" w:hAnsi="Arial"/>
                <w:sz w:val="14"/>
                <w:szCs w:val="14"/>
                <w:color w:val="auto"/>
              </w:rPr>
              <w:t>Treasury stock</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(1,046,152)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(910,601)</w:t>
            </w:r>
          </w:p>
        </w:tc>
        <w:tc>
          <w:tcPr>
            <w:tcW w:w="0" w:type="dxa"/>
            <w:vAlign w:val="bottom"/>
          </w:tcPr>
          <w:p>
            <w:pPr>
              <w:spacing w:after="0"/>
              <w:rPr>
                <w:sz w:val="1"/>
                <w:szCs w:val="1"/>
                <w:color w:val="auto"/>
              </w:rPr>
            </w:pPr>
          </w:p>
        </w:tc>
      </w:tr>
      <w:tr>
        <w:trPr>
          <w:trHeight w:val="207"/>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 income</w:t>
            </w: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195"/>
        </w:trPr>
        <w:tc>
          <w:tcPr>
            <w:tcW w:w="7060" w:type="dxa"/>
            <w:vAlign w:val="bottom"/>
            <w:tcBorders>
              <w:bottom w:val="single" w:sz="8" w:color="CCEEFF"/>
            </w:tcBorders>
          </w:tcPr>
          <w:p>
            <w:pPr>
              <w:ind w:left="460"/>
              <w:spacing w:after="0"/>
              <w:rPr>
                <w:sz w:val="20"/>
                <w:szCs w:val="20"/>
                <w:color w:val="auto"/>
              </w:rPr>
            </w:pPr>
            <w:r>
              <w:rPr>
                <w:rFonts w:ascii="Arial" w:cs="Arial" w:eastAsia="Arial" w:hAnsi="Arial"/>
                <w:sz w:val="14"/>
                <w:szCs w:val="14"/>
                <w:b w:val="1"/>
                <w:bCs w:val="1"/>
                <w:color w:val="auto"/>
              </w:rPr>
              <w:t>Total stockholders’ equity</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1,871,799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1,779,983</w:t>
            </w:r>
          </w:p>
        </w:tc>
        <w:tc>
          <w:tcPr>
            <w:tcW w:w="0" w:type="dxa"/>
            <w:vAlign w:val="bottom"/>
          </w:tcPr>
          <w:p>
            <w:pPr>
              <w:spacing w:after="0"/>
              <w:rPr>
                <w:sz w:val="1"/>
                <w:szCs w:val="1"/>
                <w:color w:val="auto"/>
              </w:rPr>
            </w:pPr>
          </w:p>
        </w:tc>
      </w:tr>
      <w:tr>
        <w:trPr>
          <w:trHeight w:val="221"/>
        </w:trPr>
        <w:tc>
          <w:tcPr>
            <w:tcW w:w="7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4,545,144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4,470,883</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See the accompanying notes to the unaudited condensed consolidated financial statements</w:t>
      </w:r>
    </w:p>
    <w:p>
      <w:pPr>
        <w:spacing w:after="0" w:line="127" w:lineRule="exact"/>
        <w:rPr>
          <w:sz w:val="20"/>
          <w:szCs w:val="20"/>
          <w:color w:val="auto"/>
        </w:rPr>
      </w:pPr>
    </w:p>
    <w:p>
      <w:pPr>
        <w:ind w:left="1700" w:hanging="801"/>
        <w:spacing w:after="0" w:line="285" w:lineRule="auto"/>
        <w:tabs>
          <w:tab w:leader="none" w:pos="1687" w:val="left"/>
        </w:tabs>
        <w:numPr>
          <w:ilvl w:val="0"/>
          <w:numId w:val="3"/>
        </w:numPr>
        <w:rPr>
          <w:rFonts w:ascii="Arial" w:cs="Arial" w:eastAsia="Arial" w:hAnsi="Arial"/>
          <w:sz w:val="14"/>
          <w:szCs w:val="14"/>
          <w:color w:val="auto"/>
        </w:rPr>
      </w:pPr>
      <w:r>
        <w:rPr>
          <w:rFonts w:ascii="Arial" w:cs="Arial" w:eastAsia="Arial" w:hAnsi="Arial"/>
          <w:sz w:val="14"/>
          <w:szCs w:val="14"/>
          <w:color w:val="auto"/>
        </w:rPr>
        <w:t>Reflects the net debt for the Term Loan and Revolving Credit Facility with the associated debt issuance costs in short-term and long-term liabilities. See Note 5. Debt and Financing Arrangements for further discussion of the short-term and long-term debt.</w:t>
      </w:r>
    </w:p>
    <w:p>
      <w:pPr>
        <w:sectPr>
          <w:pgSz w:w="11900" w:h="16838" w:orient="portrait"/>
          <w:cols w:equalWidth="0" w:num="1">
            <w:col w:w="11020"/>
          </w:cols>
          <w:pgMar w:left="320" w:top="890" w:right="5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90" w:right="55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CBIZ,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48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693,818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438,884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2,215,328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1,353,193</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603,689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1,809,188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1,108,824</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90,129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72,913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406,140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244,369</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general and administrative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86,972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63,988</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58,864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49,686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319,168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180,381</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(15,363)</w:t>
            </w: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Arial" w:cs="Arial" w:eastAsia="Arial" w:hAnsi="Arial"/>
                <w:sz w:val="18"/>
                <w:szCs w:val="18"/>
                <w:color w:val="auto"/>
              </w:rPr>
              <w:t>Gain on sale of operations,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13,207</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other (expense) income,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(48,073)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50,971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271,095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183,178</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76,234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51,417</w:t>
            </w:r>
          </w:p>
        </w:tc>
        <w:tc>
          <w:tcPr>
            <w:tcW w:w="0" w:type="dxa"/>
            <w:vAlign w:val="bottom"/>
          </w:tcPr>
          <w:p>
            <w:pPr>
              <w:spacing w:after="0"/>
              <w:rPr>
                <w:sz w:val="1"/>
                <w:szCs w:val="1"/>
                <w:color w:val="auto"/>
              </w:rPr>
            </w:pPr>
          </w:p>
        </w:tc>
      </w:tr>
      <w:tr>
        <w:trPr>
          <w:trHeight w:val="221"/>
        </w:trPr>
        <w:tc>
          <w:tcPr>
            <w:tcW w:w="56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30,146</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35,084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194,861</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131,761</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480"/>
              <w:spacing w:after="0"/>
              <w:rPr>
                <w:sz w:val="20"/>
                <w:szCs w:val="20"/>
                <w:color w:val="auto"/>
              </w:rPr>
            </w:pPr>
            <w:r>
              <w:rPr>
                <w:rFonts w:ascii="Arial" w:cs="Arial" w:eastAsia="Arial" w:hAnsi="Arial"/>
                <w:sz w:val="18"/>
                <w:szCs w:val="18"/>
                <w:b w:val="1"/>
                <w:bCs w:val="1"/>
                <w:color w:val="auto"/>
              </w:rPr>
              <w:t>Earnings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000"/>
              <w:spacing w:after="0"/>
              <w:rPr>
                <w:sz w:val="20"/>
                <w:szCs w:val="20"/>
                <w:color w:val="auto"/>
              </w:rPr>
            </w:pPr>
            <w:r>
              <w:rPr>
                <w:rFonts w:ascii="Arial" w:cs="Arial" w:eastAsia="Arial" w:hAnsi="Arial"/>
                <w:sz w:val="18"/>
                <w:szCs w:val="18"/>
                <w:b w:val="1"/>
                <w:bCs w:val="1"/>
                <w:color w:val="auto"/>
              </w:rPr>
              <w:t>Basic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0.48</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w:t>
            </w:r>
          </w:p>
        </w:tc>
        <w:tc>
          <w:tcPr>
            <w:tcW w:w="0" w:type="dxa"/>
            <w:vAlign w:val="bottom"/>
          </w:tcPr>
          <w:p>
            <w:pPr>
              <w:spacing w:after="0"/>
              <w:rPr>
                <w:sz w:val="1"/>
                <w:szCs w:val="1"/>
                <w:color w:val="auto"/>
              </w:rPr>
            </w:pPr>
          </w:p>
        </w:tc>
      </w:tr>
      <w:tr>
        <w:trPr>
          <w:trHeight w:val="229"/>
        </w:trPr>
        <w:tc>
          <w:tcPr>
            <w:tcW w:w="5640" w:type="dxa"/>
            <w:vAlign w:val="bottom"/>
          </w:tcPr>
          <w:p>
            <w:pPr>
              <w:ind w:left="1000"/>
              <w:spacing w:after="0"/>
              <w:rPr>
                <w:sz w:val="20"/>
                <w:szCs w:val="20"/>
                <w:color w:val="auto"/>
              </w:rPr>
            </w:pPr>
            <w:r>
              <w:rPr>
                <w:rFonts w:ascii="Arial" w:cs="Arial" w:eastAsia="Arial" w:hAnsi="Arial"/>
                <w:sz w:val="18"/>
                <w:szCs w:val="18"/>
                <w:b w:val="1"/>
                <w:bCs w:val="1"/>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0.48</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0.70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3.06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2.62</w:t>
            </w:r>
          </w:p>
        </w:tc>
        <w:tc>
          <w:tcPr>
            <w:tcW w:w="0" w:type="dxa"/>
            <w:vAlign w:val="bottom"/>
          </w:tcPr>
          <w:p>
            <w:pPr>
              <w:spacing w:after="0"/>
              <w:rPr>
                <w:sz w:val="1"/>
                <w:szCs w:val="1"/>
                <w:color w:val="auto"/>
              </w:rPr>
            </w:pPr>
          </w:p>
        </w:tc>
      </w:tr>
      <w:tr>
        <w:trPr>
          <w:trHeight w:val="254"/>
        </w:trPr>
        <w:tc>
          <w:tcPr>
            <w:tcW w:w="5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Basic weighted average shares outstanding</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50,101</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480"/>
              <w:spacing w:after="0"/>
              <w:rPr>
                <w:sz w:val="20"/>
                <w:szCs w:val="20"/>
                <w:color w:val="auto"/>
              </w:rPr>
            </w:pPr>
            <w:r>
              <w:rPr>
                <w:rFonts w:ascii="Arial" w:cs="Arial" w:eastAsia="Arial" w:hAnsi="Arial"/>
                <w:sz w:val="18"/>
                <w:szCs w:val="18"/>
                <w:color w:val="auto"/>
              </w:rPr>
              <w:t>Diluted weighted average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4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62,699</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50,401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63,609</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50,359</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Comprehensive income: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30,146</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35,084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194,861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131,761</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28,904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32,587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190,269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130,140</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CBIZ,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rPr>
              <w:t>Issued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vMerge w:val="restart"/>
          </w:tcPr>
          <w:p>
            <w:pPr>
              <w:jc w:val="right"/>
              <w:ind w:right="42"/>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6"/>
            <w:vMerge w:val="restart"/>
          </w:tcPr>
          <w:p>
            <w:pPr>
              <w:jc w:val="center"/>
              <w:ind w:right="80"/>
              <w:spacing w:after="0"/>
              <w:rPr>
                <w:sz w:val="20"/>
                <w:szCs w:val="20"/>
                <w:color w:val="auto"/>
              </w:rPr>
            </w:pPr>
            <w:r>
              <w:rPr>
                <w:rFonts w:ascii="Arial" w:cs="Arial" w:eastAsia="Arial" w:hAnsi="Arial"/>
                <w:sz w:val="14"/>
                <w:szCs w:val="14"/>
                <w:b w:val="1"/>
                <w:bCs w:val="1"/>
                <w:color w:val="auto"/>
              </w:rPr>
              <w:t>Common</w:t>
            </w:r>
          </w:p>
        </w:tc>
        <w:tc>
          <w:tcPr>
            <w:tcW w:w="9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gridSpan w:val="7"/>
          </w:tcPr>
          <w:p>
            <w:pPr>
              <w:jc w:val="right"/>
              <w:ind w:right="21"/>
              <w:spacing w:after="0" w:line="149" w:lineRule="exact"/>
              <w:rPr>
                <w:sz w:val="20"/>
                <w:szCs w:val="20"/>
                <w:color w:val="auto"/>
              </w:rPr>
            </w:pPr>
            <w:r>
              <w:rPr>
                <w:rFonts w:ascii="Arial" w:cs="Arial" w:eastAsia="Arial" w:hAnsi="Arial"/>
                <w:sz w:val="14"/>
                <w:szCs w:val="14"/>
                <w:b w:val="1"/>
                <w:bCs w:val="1"/>
                <w:color w:val="auto"/>
              </w:rPr>
              <w:t>Common    Treasury</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jc w:val="right"/>
              <w:ind w:right="142"/>
              <w:spacing w:after="0" w:line="149" w:lineRule="exact"/>
              <w:rPr>
                <w:sz w:val="20"/>
                <w:szCs w:val="20"/>
                <w:color w:val="auto"/>
              </w:rPr>
            </w:pPr>
            <w:r>
              <w:rPr>
                <w:rFonts w:ascii="Arial" w:cs="Arial" w:eastAsia="Arial" w:hAnsi="Arial"/>
                <w:sz w:val="14"/>
                <w:szCs w:val="14"/>
                <w:b w:val="1"/>
                <w:bCs w:val="1"/>
                <w:color w:val="auto"/>
              </w:rPr>
              <w:t>Paid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2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2"/>
                <w:szCs w:val="12"/>
                <w:color w:val="auto"/>
              </w:rPr>
            </w:pPr>
          </w:p>
        </w:tc>
        <w:tc>
          <w:tcPr>
            <w:tcW w:w="84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9"/>
              </w:rPr>
              <w:t>Stock</w:t>
            </w:r>
          </w:p>
        </w:tc>
        <w:tc>
          <w:tcPr>
            <w:tcW w:w="200" w:type="dxa"/>
            <w:vAlign w:val="bottom"/>
          </w:tcPr>
          <w:p>
            <w:pPr>
              <w:spacing w:after="0"/>
              <w:rPr>
                <w:sz w:val="16"/>
                <w:szCs w:val="16"/>
                <w:color w:val="auto"/>
              </w:rPr>
            </w:pPr>
          </w:p>
        </w:tc>
        <w:tc>
          <w:tcPr>
            <w:tcW w:w="720" w:type="dxa"/>
            <w:vAlign w:val="bottom"/>
            <w:gridSpan w:val="3"/>
          </w:tcPr>
          <w:p>
            <w:pPr>
              <w:jc w:val="right"/>
              <w:ind w:right="142"/>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Loss</w:t>
            </w: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2025</w:t>
            </w:r>
          </w:p>
        </w:tc>
        <w:tc>
          <w:tcPr>
            <w:tcW w:w="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142,851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88,827</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rPr>
              <w:t>1,429</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4"/>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$1,821,388</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rPr>
              <w:t>$1,060,837</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  (989,680)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24"/>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(2,131)</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$1,891,843</w:t>
            </w:r>
          </w:p>
        </w:tc>
        <w:tc>
          <w:tcPr>
            <w:tcW w:w="0" w:type="dxa"/>
            <w:vAlign w:val="bottom"/>
          </w:tcPr>
          <w:p>
            <w:pPr>
              <w:spacing w:after="0"/>
              <w:rPr>
                <w:sz w:val="1"/>
                <w:szCs w:val="1"/>
                <w:color w:val="auto"/>
              </w:rPr>
            </w:pPr>
          </w:p>
        </w:tc>
      </w:tr>
      <w:tr>
        <w:trPr>
          <w:trHeight w:val="215"/>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8"/>
                <w:szCs w:val="18"/>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30,146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
              <w:spacing w:after="0"/>
              <w:rPr>
                <w:sz w:val="20"/>
                <w:szCs w:val="20"/>
                <w:color w:val="auto"/>
              </w:rPr>
            </w:pPr>
            <w:r>
              <w:rPr>
                <w:rFonts w:ascii="Arial" w:cs="Arial" w:eastAsia="Arial" w:hAnsi="Arial"/>
                <w:sz w:val="16"/>
                <w:szCs w:val="16"/>
                <w:color w:val="auto"/>
              </w:rPr>
              <w:t>30,146</w:t>
            </w:r>
          </w:p>
        </w:tc>
        <w:tc>
          <w:tcPr>
            <w:tcW w:w="0" w:type="dxa"/>
            <w:vAlign w:val="bottom"/>
          </w:tcPr>
          <w:p>
            <w:pPr>
              <w:spacing w:after="0"/>
              <w:rPr>
                <w:sz w:val="1"/>
                <w:szCs w:val="1"/>
                <w:color w:val="auto"/>
              </w:rPr>
            </w:pPr>
          </w:p>
        </w:tc>
      </w:tr>
      <w:tr>
        <w:trPr>
          <w:trHeight w:val="217"/>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215"/>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Share repurchases</w:t>
            </w:r>
          </w:p>
        </w:tc>
        <w:tc>
          <w:tcPr>
            <w:tcW w:w="240" w:type="dxa"/>
            <w:vAlign w:val="bottom"/>
          </w:tcPr>
          <w:p>
            <w:pPr>
              <w:spacing w:after="0"/>
              <w:rPr>
                <w:sz w:val="18"/>
                <w:szCs w:val="18"/>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826</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(56,433)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(56,433)</w:t>
            </w:r>
          </w:p>
        </w:tc>
        <w:tc>
          <w:tcPr>
            <w:tcW w:w="0" w:type="dxa"/>
            <w:vAlign w:val="bottom"/>
          </w:tcPr>
          <w:p>
            <w:pPr>
              <w:spacing w:after="0"/>
              <w:rPr>
                <w:sz w:val="1"/>
                <w:szCs w:val="1"/>
                <w:color w:val="auto"/>
              </w:rPr>
            </w:pPr>
          </w:p>
        </w:tc>
      </w:tr>
      <w:tr>
        <w:trPr>
          <w:trHeight w:val="163"/>
        </w:trPr>
        <w:tc>
          <w:tcPr>
            <w:tcW w:w="334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Indirect repurchase of shares for minimum</w:t>
            </w:r>
          </w:p>
        </w:tc>
        <w:tc>
          <w:tcPr>
            <w:tcW w:w="240" w:type="dxa"/>
            <w:vAlign w:val="bottom"/>
            <w:shd w:val="clear" w:color="auto" w:fill="CCEEFF"/>
          </w:tcPr>
          <w:p>
            <w:pPr>
              <w:spacing w:after="0"/>
              <w:rPr>
                <w:sz w:val="14"/>
                <w:szCs w:val="14"/>
                <w:color w:val="auto"/>
              </w:rPr>
            </w:pPr>
          </w:p>
        </w:tc>
        <w:tc>
          <w:tcPr>
            <w:tcW w:w="74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withholding</w:t>
            </w:r>
          </w:p>
        </w:tc>
        <w:tc>
          <w:tcPr>
            <w:tcW w:w="240" w:type="dxa"/>
            <w:vAlign w:val="bottom"/>
            <w:shd w:val="clear" w:color="auto" w:fill="CCEEFF"/>
          </w:tcPr>
          <w:p>
            <w:pPr>
              <w:spacing w:after="0"/>
              <w:rPr>
                <w:sz w:val="18"/>
                <w:szCs w:val="18"/>
                <w:color w:val="auto"/>
              </w:rPr>
            </w:pPr>
          </w:p>
        </w:tc>
        <w:tc>
          <w:tcPr>
            <w:tcW w:w="74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Restricted stock units and awards</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7,334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7,334</w:t>
            </w:r>
          </w:p>
        </w:tc>
        <w:tc>
          <w:tcPr>
            <w:tcW w:w="0" w:type="dxa"/>
            <w:vAlign w:val="bottom"/>
          </w:tcPr>
          <w:p>
            <w:pPr>
              <w:spacing w:after="0"/>
              <w:rPr>
                <w:sz w:val="1"/>
                <w:szCs w:val="1"/>
                <w:color w:val="auto"/>
              </w:rPr>
            </w:pPr>
          </w:p>
        </w:tc>
      </w:tr>
      <w:tr>
        <w:trPr>
          <w:trHeight w:val="215"/>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Business acquisitions</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905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ind w:right="2"/>
              <w:spacing w:after="0"/>
              <w:rPr>
                <w:sz w:val="20"/>
                <w:szCs w:val="20"/>
                <w:color w:val="auto"/>
              </w:rPr>
            </w:pPr>
            <w:r>
              <w:rPr>
                <w:rFonts w:ascii="Arial" w:cs="Arial" w:eastAsia="Arial" w:hAnsi="Arial"/>
                <w:sz w:val="16"/>
                <w:szCs w:val="16"/>
                <w:color w:val="auto"/>
              </w:rPr>
              <w:t>181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35"/>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2025</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143,757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89,653</w:t>
            </w:r>
          </w:p>
        </w:tc>
        <w:tc>
          <w:tcPr>
            <w:tcW w:w="10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rPr>
              <w:t>1,438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gridSpan w:val="4"/>
            <w:shd w:val="clear" w:color="auto" w:fill="CCEEFF"/>
          </w:tcPr>
          <w:p>
            <w:pPr>
              <w:jc w:val="right"/>
              <w:ind w:right="2"/>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1,828,903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1,090,983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98"/>
              </w:rPr>
              <w:t>$</w:t>
            </w:r>
            <w:r>
              <w:rPr>
                <w:rFonts w:ascii="Arial" w:cs="Arial" w:eastAsia="Arial" w:hAnsi="Arial"/>
                <w:sz w:val="16"/>
                <w:szCs w:val="16"/>
                <w:b w:val="1"/>
                <w:bCs w:val="1"/>
                <w:color w:val="auto"/>
                <w:w w:val="98"/>
              </w:rPr>
              <w:t xml:space="preserve"> (1,046,152)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24"/>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(3,373)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1,871,799</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Issued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vMerge w:val="restart"/>
          </w:tcPr>
          <w:p>
            <w:pPr>
              <w:jc w:val="right"/>
              <w:ind w:right="42"/>
              <w:spacing w:after="0"/>
              <w:rPr>
                <w:sz w:val="20"/>
                <w:szCs w:val="20"/>
                <w:color w:val="auto"/>
              </w:rPr>
            </w:pPr>
            <w:r>
              <w:rPr>
                <w:rFonts w:ascii="Arial" w:cs="Arial" w:eastAsia="Arial" w:hAnsi="Arial"/>
                <w:sz w:val="14"/>
                <w:szCs w:val="14"/>
                <w:b w:val="1"/>
                <w:bCs w:val="1"/>
                <w:color w:val="auto"/>
              </w:rPr>
              <w:t>Treasury</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Common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59"/>
              <w:spacing w:after="0" w:line="149" w:lineRule="exact"/>
              <w:rPr>
                <w:sz w:val="20"/>
                <w:szCs w:val="20"/>
                <w:color w:val="auto"/>
              </w:rPr>
            </w:pPr>
            <w:r>
              <w:rPr>
                <w:rFonts w:ascii="Arial" w:cs="Arial" w:eastAsia="Arial" w:hAnsi="Arial"/>
                <w:sz w:val="14"/>
                <w:szCs w:val="14"/>
                <w:b w:val="1"/>
                <w:bCs w:val="1"/>
                <w:color w:val="auto"/>
              </w:rPr>
              <w:t>Paid 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2"/>
                <w:szCs w:val="12"/>
                <w:color w:val="auto"/>
              </w:rPr>
            </w:pPr>
          </w:p>
        </w:tc>
        <w:tc>
          <w:tcPr>
            <w:tcW w:w="84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2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4"/>
          </w:tcPr>
          <w:p>
            <w:pPr>
              <w:jc w:val="right"/>
              <w:ind w:right="10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Stock</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Capital</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Income (Loss)</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2024</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137,905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87,743</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1,379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$ 845,962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$ 951,761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 (910,322)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2,654</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$ 891,434</w:t>
            </w:r>
          </w:p>
        </w:tc>
        <w:tc>
          <w:tcPr>
            <w:tcW w:w="0" w:type="dxa"/>
            <w:vAlign w:val="bottom"/>
          </w:tcPr>
          <w:p>
            <w:pPr>
              <w:spacing w:after="0"/>
              <w:rPr>
                <w:sz w:val="1"/>
                <w:szCs w:val="1"/>
                <w:color w:val="auto"/>
              </w:rPr>
            </w:pPr>
          </w:p>
        </w:tc>
      </w:tr>
      <w:tr>
        <w:trPr>
          <w:trHeight w:val="215"/>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gridSpan w:val="3"/>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w w:val="87"/>
              </w:rPr>
              <w:t>—</w:t>
            </w:r>
          </w:p>
        </w:tc>
        <w:tc>
          <w:tcPr>
            <w:tcW w:w="880" w:type="dxa"/>
            <w:vAlign w:val="bottom"/>
            <w:gridSpan w:val="4"/>
          </w:tcPr>
          <w:p>
            <w:pPr>
              <w:jc w:val="right"/>
              <w:spacing w:after="0"/>
              <w:rPr>
                <w:sz w:val="20"/>
                <w:szCs w:val="20"/>
                <w:color w:val="auto"/>
              </w:rPr>
            </w:pPr>
            <w:r>
              <w:rPr>
                <w:rFonts w:ascii="Arial" w:cs="Arial" w:eastAsia="Arial" w:hAnsi="Arial"/>
                <w:sz w:val="16"/>
                <w:szCs w:val="16"/>
                <w:color w:val="auto"/>
              </w:rPr>
              <w:t>35,084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
              <w:spacing w:after="0"/>
              <w:rPr>
                <w:sz w:val="20"/>
                <w:szCs w:val="20"/>
                <w:color w:val="auto"/>
              </w:rPr>
            </w:pPr>
            <w:r>
              <w:rPr>
                <w:rFonts w:ascii="Arial" w:cs="Arial" w:eastAsia="Arial" w:hAnsi="Arial"/>
                <w:sz w:val="16"/>
                <w:szCs w:val="16"/>
                <w:color w:val="auto"/>
              </w:rPr>
              <w:t>35,084</w:t>
            </w:r>
          </w:p>
        </w:tc>
        <w:tc>
          <w:tcPr>
            <w:tcW w:w="0" w:type="dxa"/>
            <w:vAlign w:val="bottom"/>
          </w:tcPr>
          <w:p>
            <w:pPr>
              <w:spacing w:after="0"/>
              <w:rPr>
                <w:sz w:val="1"/>
                <w:szCs w:val="1"/>
                <w:color w:val="auto"/>
              </w:rPr>
            </w:pPr>
          </w:p>
        </w:tc>
      </w:tr>
      <w:tr>
        <w:trPr>
          <w:trHeight w:val="217"/>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(2,497)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(2,497)</w:t>
            </w:r>
          </w:p>
        </w:tc>
        <w:tc>
          <w:tcPr>
            <w:tcW w:w="0" w:type="dxa"/>
            <w:vAlign w:val="bottom"/>
          </w:tcPr>
          <w:p>
            <w:pPr>
              <w:spacing w:after="0"/>
              <w:rPr>
                <w:sz w:val="1"/>
                <w:szCs w:val="1"/>
                <w:color w:val="auto"/>
              </w:rPr>
            </w:pPr>
          </w:p>
        </w:tc>
      </w:tr>
      <w:tr>
        <w:trPr>
          <w:trHeight w:val="162"/>
        </w:trPr>
        <w:tc>
          <w:tcPr>
            <w:tcW w:w="33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Indirect repurchase of shares for minimum tax</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gridSpan w:val="3"/>
            <w:vMerge w:val="restart"/>
          </w:tcPr>
          <w:p>
            <w:pPr>
              <w:jc w:val="right"/>
              <w:ind w:right="2"/>
              <w:spacing w:after="0"/>
              <w:rPr>
                <w:sz w:val="20"/>
                <w:szCs w:val="20"/>
                <w:color w:val="auto"/>
              </w:rPr>
            </w:pPr>
            <w:r>
              <w:rPr>
                <w:rFonts w:ascii="Arial" w:cs="Arial" w:eastAsia="Arial" w:hAnsi="Arial"/>
                <w:sz w:val="16"/>
                <w:szCs w:val="16"/>
                <w:color w:val="auto"/>
              </w:rPr>
              <w:t>3</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w w:val="87"/>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w w:val="87"/>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4"/>
            <w:vMerge w:val="restart"/>
          </w:tcPr>
          <w:p>
            <w:pPr>
              <w:jc w:val="right"/>
              <w:ind w:right="20"/>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5"/>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withholding</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6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Restricted stock units and awards</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gridSpan w:val="3"/>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920" w:type="dxa"/>
            <w:vAlign w:val="bottom"/>
            <w:gridSpan w:val="5"/>
          </w:tcPr>
          <w:p>
            <w:pPr>
              <w:jc w:val="right"/>
              <w:spacing w:after="0"/>
              <w:rPr>
                <w:sz w:val="20"/>
                <w:szCs w:val="20"/>
                <w:color w:val="auto"/>
              </w:rPr>
            </w:pPr>
            <w:r>
              <w:rPr>
                <w:rFonts w:ascii="Arial" w:cs="Arial" w:eastAsia="Arial" w:hAnsi="Arial"/>
                <w:sz w:val="16"/>
                <w:szCs w:val="16"/>
                <w:color w:val="auto"/>
              </w:rPr>
              <w:t>2,415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
              <w:spacing w:after="0"/>
              <w:rPr>
                <w:sz w:val="20"/>
                <w:szCs w:val="20"/>
                <w:color w:val="auto"/>
              </w:rPr>
            </w:pPr>
            <w:r>
              <w:rPr>
                <w:rFonts w:ascii="Arial" w:cs="Arial" w:eastAsia="Arial" w:hAnsi="Arial"/>
                <w:sz w:val="16"/>
                <w:szCs w:val="16"/>
                <w:color w:val="auto"/>
              </w:rPr>
              <w:t>2,415</w:t>
            </w:r>
          </w:p>
        </w:tc>
        <w:tc>
          <w:tcPr>
            <w:tcW w:w="0" w:type="dxa"/>
            <w:vAlign w:val="bottom"/>
          </w:tcPr>
          <w:p>
            <w:pPr>
              <w:spacing w:after="0"/>
              <w:rPr>
                <w:sz w:val="1"/>
                <w:szCs w:val="1"/>
                <w:color w:val="auto"/>
              </w:rPr>
            </w:pPr>
          </w:p>
        </w:tc>
      </w:tr>
      <w:tr>
        <w:trPr>
          <w:trHeight w:val="217"/>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Business acquisitions</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1,699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1,699</w:t>
            </w:r>
          </w:p>
        </w:tc>
        <w:tc>
          <w:tcPr>
            <w:tcW w:w="0" w:type="dxa"/>
            <w:vAlign w:val="bottom"/>
          </w:tcPr>
          <w:p>
            <w:pPr>
              <w:spacing w:after="0"/>
              <w:rPr>
                <w:sz w:val="1"/>
                <w:szCs w:val="1"/>
                <w:color w:val="auto"/>
              </w:rPr>
            </w:pPr>
          </w:p>
        </w:tc>
      </w:tr>
      <w:tr>
        <w:trPr>
          <w:trHeight w:val="249"/>
        </w:trPr>
        <w:tc>
          <w:tcPr>
            <w:tcW w:w="33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2024</w:t>
            </w:r>
          </w:p>
        </w:tc>
        <w:tc>
          <w:tcPr>
            <w:tcW w:w="240" w:type="dxa"/>
            <w:vAlign w:val="bottom"/>
          </w:tcPr>
          <w:p>
            <w:pPr>
              <w:spacing w:after="0"/>
              <w:rPr>
                <w:sz w:val="21"/>
                <w:szCs w:val="21"/>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137,934</w:t>
            </w:r>
          </w:p>
        </w:tc>
        <w:tc>
          <w:tcPr>
            <w:tcW w:w="6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Borders>
              <w:top w:val="single" w:sz="8" w:color="auto"/>
              <w:bottom w:val="single" w:sz="8" w:color="auto"/>
            </w:tcBorders>
            <w:gridSpan w:val="4"/>
          </w:tcPr>
          <w:p>
            <w:pPr>
              <w:jc w:val="right"/>
              <w:ind w:right="2"/>
              <w:spacing w:after="0"/>
              <w:rPr>
                <w:sz w:val="20"/>
                <w:szCs w:val="20"/>
                <w:color w:val="auto"/>
              </w:rPr>
            </w:pPr>
            <w:r>
              <w:rPr>
                <w:rFonts w:ascii="Arial" w:cs="Arial" w:eastAsia="Arial" w:hAnsi="Arial"/>
                <w:sz w:val="16"/>
                <w:szCs w:val="16"/>
                <w:b w:val="1"/>
                <w:bCs w:val="1"/>
                <w:color w:val="auto"/>
              </w:rPr>
              <w:t>87,746</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1,379</w:t>
            </w:r>
          </w:p>
        </w:tc>
        <w:tc>
          <w:tcPr>
            <w:tcW w:w="4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$ 850,076</w:t>
            </w:r>
          </w:p>
        </w:tc>
        <w:tc>
          <w:tcPr>
            <w:tcW w:w="4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$ 986,845</w:t>
            </w:r>
          </w:p>
        </w:tc>
        <w:tc>
          <w:tcPr>
            <w:tcW w:w="8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 (910,537)</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157</w:t>
            </w:r>
          </w:p>
        </w:tc>
        <w:tc>
          <w:tcPr>
            <w:tcW w:w="8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$ 927,920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the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Issued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vMerge w:val="restart"/>
          </w:tcPr>
          <w:p>
            <w:pPr>
              <w:jc w:val="right"/>
              <w:ind w:right="42"/>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6"/>
            <w:vMerge w:val="restart"/>
          </w:tcPr>
          <w:p>
            <w:pPr>
              <w:jc w:val="center"/>
              <w:ind w:right="80"/>
              <w:spacing w:after="0"/>
              <w:rPr>
                <w:sz w:val="20"/>
                <w:szCs w:val="20"/>
                <w:color w:val="auto"/>
              </w:rPr>
            </w:pPr>
            <w:r>
              <w:rPr>
                <w:rFonts w:ascii="Arial" w:cs="Arial" w:eastAsia="Arial" w:hAnsi="Arial"/>
                <w:sz w:val="14"/>
                <w:szCs w:val="14"/>
                <w:b w:val="1"/>
                <w:bCs w:val="1"/>
                <w:color w:val="auto"/>
              </w:rPr>
              <w:t>Common</w:t>
            </w:r>
          </w:p>
        </w:tc>
        <w:tc>
          <w:tcPr>
            <w:tcW w:w="9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vMerge w:val="restart"/>
          </w:tcPr>
          <w:p>
            <w:pPr>
              <w:jc w:val="right"/>
              <w:ind w:right="1"/>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Treasury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460"/>
              <w:spacing w:after="0" w:line="145"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7"/>
          </w:tcPr>
          <w:p>
            <w:pPr>
              <w:jc w:val="right"/>
              <w:spacing w:after="0" w:line="149" w:lineRule="exact"/>
              <w:rPr>
                <w:sz w:val="20"/>
                <w:szCs w:val="20"/>
                <w:color w:val="auto"/>
              </w:rPr>
            </w:pPr>
            <w:r>
              <w:rPr>
                <w:rFonts w:ascii="Arial" w:cs="Arial" w:eastAsia="Arial" w:hAnsi="Arial"/>
                <w:sz w:val="14"/>
                <w:szCs w:val="14"/>
                <w:b w:val="1"/>
                <w:bCs w:val="1"/>
                <w:color w:val="auto"/>
              </w:rPr>
              <w:t>Common   Treasury</w:t>
            </w:r>
          </w:p>
        </w:tc>
        <w:tc>
          <w:tcPr>
            <w:tcW w:w="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jc w:val="right"/>
              <w:ind w:right="142"/>
              <w:spacing w:after="0" w:line="149" w:lineRule="exact"/>
              <w:rPr>
                <w:sz w:val="20"/>
                <w:szCs w:val="20"/>
                <w:color w:val="auto"/>
              </w:rPr>
            </w:pPr>
            <w:r>
              <w:rPr>
                <w:rFonts w:ascii="Arial" w:cs="Arial" w:eastAsia="Arial" w:hAnsi="Arial"/>
                <w:sz w:val="14"/>
                <w:szCs w:val="14"/>
                <w:b w:val="1"/>
                <w:bCs w:val="1"/>
                <w:color w:val="auto"/>
              </w:rPr>
              <w:t>Paid 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6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w w:val="98"/>
              </w:rPr>
              <w:t>Shares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9"/>
              </w:rPr>
              <w:t>Stock</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ind w:right="142"/>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Stock</w:t>
            </w:r>
          </w:p>
        </w:tc>
        <w:tc>
          <w:tcPr>
            <w:tcW w:w="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Income (Loss)</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2024</w:t>
            </w: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137,945</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6"/>
                <w:szCs w:val="16"/>
                <w:b w:val="1"/>
                <w:bCs w:val="1"/>
                <w:color w:val="auto"/>
              </w:rPr>
              <w:t>87,747</w:t>
            </w:r>
          </w:p>
        </w:tc>
        <w:tc>
          <w:tcPr>
            <w:tcW w:w="360" w:type="dxa"/>
            <w:vAlign w:val="bottom"/>
            <w:gridSpan w:val="4"/>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4"/>
            <w:shd w:val="clear" w:color="auto" w:fill="CFF0FC"/>
          </w:tcPr>
          <w:p>
            <w:pPr>
              <w:jc w:val="right"/>
              <w:spacing w:after="0"/>
              <w:rPr>
                <w:sz w:val="20"/>
                <w:szCs w:val="20"/>
                <w:color w:val="auto"/>
              </w:rPr>
            </w:pPr>
            <w:r>
              <w:rPr>
                <w:rFonts w:ascii="Arial" w:cs="Arial" w:eastAsia="Arial" w:hAnsi="Arial"/>
                <w:sz w:val="16"/>
                <w:szCs w:val="16"/>
                <w:b w:val="1"/>
                <w:bCs w:val="1"/>
                <w:color w:val="auto"/>
              </w:rPr>
              <w:t>1,380</w:t>
            </w:r>
          </w:p>
        </w:tc>
        <w:tc>
          <w:tcPr>
            <w:tcW w:w="80" w:type="dxa"/>
            <w:vAlign w:val="bottom"/>
            <w:shd w:val="clear" w:color="auto" w:fill="CFF0FC"/>
          </w:tcPr>
          <w:p>
            <w:pPr>
              <w:spacing w:after="0"/>
              <w:rPr>
                <w:sz w:val="18"/>
                <w:szCs w:val="18"/>
                <w:color w:val="auto"/>
              </w:rPr>
            </w:pPr>
          </w:p>
        </w:tc>
        <w:tc>
          <w:tcPr>
            <w:tcW w:w="920" w:type="dxa"/>
            <w:vAlign w:val="bottom"/>
            <w:gridSpan w:val="4"/>
            <w:shd w:val="clear" w:color="auto" w:fill="CFF0FC"/>
          </w:tcPr>
          <w:p>
            <w:pPr>
              <w:jc w:val="right"/>
              <w:ind w:right="2"/>
              <w:spacing w:after="0"/>
              <w:rPr>
                <w:sz w:val="20"/>
                <w:szCs w:val="20"/>
                <w:color w:val="auto"/>
              </w:rPr>
            </w:pPr>
            <w:r>
              <w:rPr>
                <w:rFonts w:ascii="Arial" w:cs="Arial" w:eastAsia="Arial" w:hAnsi="Arial"/>
                <w:sz w:val="16"/>
                <w:szCs w:val="16"/>
                <w:b w:val="1"/>
                <w:bCs w:val="1"/>
                <w:color w:val="auto"/>
              </w:rPr>
              <w:t>$1,791,863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6"/>
                <w:szCs w:val="16"/>
                <w:b w:val="1"/>
                <w:bCs w:val="1"/>
                <w:color w:val="auto"/>
              </w:rPr>
              <w:t>896,122</w:t>
            </w:r>
          </w:p>
        </w:tc>
        <w:tc>
          <w:tcPr>
            <w:tcW w:w="320" w:type="dxa"/>
            <w:vAlign w:val="bottom"/>
            <w:gridSpan w:val="4"/>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(910,601)</w:t>
            </w:r>
          </w:p>
        </w:tc>
        <w:tc>
          <w:tcPr>
            <w:tcW w:w="8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ind w:right="26"/>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1,219</w:t>
            </w:r>
          </w:p>
        </w:tc>
        <w:tc>
          <w:tcPr>
            <w:tcW w:w="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1"/>
              <w:spacing w:after="0"/>
              <w:rPr>
                <w:sz w:val="20"/>
                <w:szCs w:val="20"/>
                <w:color w:val="auto"/>
              </w:rPr>
            </w:pPr>
            <w:r>
              <w:rPr>
                <w:rFonts w:ascii="Arial" w:cs="Arial" w:eastAsia="Arial" w:hAnsi="Arial"/>
                <w:sz w:val="16"/>
                <w:szCs w:val="16"/>
                <w:b w:val="1"/>
                <w:bCs w:val="1"/>
                <w:color w:val="auto"/>
              </w:rPr>
              <w:t>$1,779,983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194,861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
              <w:spacing w:after="0"/>
              <w:rPr>
                <w:sz w:val="20"/>
                <w:szCs w:val="20"/>
                <w:color w:val="auto"/>
              </w:rPr>
            </w:pPr>
            <w:r>
              <w:rPr>
                <w:rFonts w:ascii="Arial" w:cs="Arial" w:eastAsia="Arial" w:hAnsi="Arial"/>
                <w:sz w:val="16"/>
                <w:szCs w:val="16"/>
                <w:color w:val="auto"/>
              </w:rPr>
              <w:t>194,861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(4,592)</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(4,592)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Share repurchases</w:t>
            </w:r>
          </w:p>
        </w:tc>
        <w:tc>
          <w:tcPr>
            <w:tcW w:w="220" w:type="dxa"/>
            <w:vAlign w:val="bottom"/>
          </w:tcPr>
          <w:p>
            <w:pPr>
              <w:spacing w:after="0"/>
              <w:rPr>
                <w:sz w:val="18"/>
                <w:szCs w:val="18"/>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1,817</w:t>
            </w:r>
          </w:p>
        </w:tc>
        <w:tc>
          <w:tcPr>
            <w:tcW w:w="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(127,754)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(127,754)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2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Indirect repurchase of shares for minimum</w:t>
            </w:r>
          </w:p>
        </w:tc>
        <w:tc>
          <w:tcPr>
            <w:tcW w:w="220" w:type="dxa"/>
            <w:vAlign w:val="bottom"/>
            <w:shd w:val="clear" w:color="auto" w:fill="CCEEFF"/>
          </w:tcPr>
          <w:p>
            <w:pPr>
              <w:spacing w:after="0"/>
              <w:rPr>
                <w:sz w:val="14"/>
                <w:szCs w:val="14"/>
                <w:color w:val="auto"/>
              </w:rPr>
            </w:pPr>
          </w:p>
        </w:tc>
        <w:tc>
          <w:tcPr>
            <w:tcW w:w="74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6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(7,797)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(7,797)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withholding</w:t>
            </w:r>
          </w:p>
        </w:tc>
        <w:tc>
          <w:tcPr>
            <w:tcW w:w="220" w:type="dxa"/>
            <w:vAlign w:val="bottom"/>
            <w:shd w:val="clear" w:color="auto" w:fill="CCEEFF"/>
          </w:tcPr>
          <w:p>
            <w:pPr>
              <w:spacing w:after="0"/>
              <w:rPr>
                <w:sz w:val="18"/>
                <w:szCs w:val="18"/>
                <w:color w:val="auto"/>
              </w:rPr>
            </w:pPr>
          </w:p>
        </w:tc>
        <w:tc>
          <w:tcPr>
            <w:tcW w:w="740" w:type="dxa"/>
            <w:vAlign w:val="bottom"/>
            <w:gridSpan w:val="3"/>
            <w:vMerge w:val="continue"/>
            <w:shd w:val="clear" w:color="auto" w:fill="CCEEFF"/>
          </w:tcPr>
          <w:p>
            <w:pPr>
              <w:spacing w:after="0"/>
              <w:rPr>
                <w:sz w:val="18"/>
                <w:szCs w:val="18"/>
                <w:color w:val="auto"/>
              </w:rPr>
            </w:pPr>
          </w:p>
        </w:tc>
        <w:tc>
          <w:tcPr>
            <w:tcW w:w="60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92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Restricted stock units and awards</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Performance share units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18"/>
                <w:szCs w:val="18"/>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gridSpan w:val="3"/>
          </w:tcPr>
          <w:p>
            <w:pPr>
              <w:jc w:val="right"/>
              <w:ind w:right="2"/>
              <w:spacing w:after="0"/>
              <w:rPr>
                <w:sz w:val="20"/>
                <w:szCs w:val="20"/>
                <w:color w:val="auto"/>
              </w:rPr>
            </w:pPr>
            <w:r>
              <w:rPr>
                <w:rFonts w:ascii="Arial" w:cs="Arial" w:eastAsia="Arial" w:hAnsi="Arial"/>
                <w:sz w:val="16"/>
                <w:szCs w:val="16"/>
                <w:color w:val="auto"/>
              </w:rPr>
              <w:t>19,573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
              <w:spacing w:after="0"/>
              <w:rPr>
                <w:sz w:val="20"/>
                <w:szCs w:val="20"/>
                <w:color w:val="auto"/>
              </w:rPr>
            </w:pPr>
            <w:r>
              <w:rPr>
                <w:rFonts w:ascii="Arial" w:cs="Arial" w:eastAsia="Arial" w:hAnsi="Arial"/>
                <w:sz w:val="16"/>
                <w:szCs w:val="16"/>
                <w:color w:val="auto"/>
              </w:rPr>
              <w:t>19,573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Business acquisitions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17,469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17,525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September 30, 2025</w:t>
            </w:r>
          </w:p>
        </w:tc>
        <w:tc>
          <w:tcPr>
            <w:tcW w:w="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143,757</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89,653</w:t>
            </w: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1,438</w:t>
            </w:r>
          </w:p>
        </w:tc>
        <w:tc>
          <w:tcPr>
            <w:tcW w:w="80" w:type="dxa"/>
            <w:vAlign w:val="bottom"/>
          </w:tcPr>
          <w:p>
            <w:pPr>
              <w:spacing w:after="0"/>
              <w:rPr>
                <w:sz w:val="21"/>
                <w:szCs w:val="21"/>
                <w:color w:val="auto"/>
              </w:rPr>
            </w:pPr>
          </w:p>
        </w:tc>
        <w:tc>
          <w:tcPr>
            <w:tcW w:w="920" w:type="dxa"/>
            <w:vAlign w:val="bottom"/>
            <w:tcBorders>
              <w:top w:val="single" w:sz="8" w:color="auto"/>
              <w:bottom w:val="single" w:sz="8" w:color="auto"/>
            </w:tcBorders>
            <w:gridSpan w:val="4"/>
          </w:tcPr>
          <w:p>
            <w:pPr>
              <w:jc w:val="right"/>
              <w:ind w:right="2"/>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1,828,903</w:t>
            </w:r>
          </w:p>
        </w:tc>
        <w:tc>
          <w:tcPr>
            <w:tcW w:w="80" w:type="dxa"/>
            <w:vAlign w:val="bottom"/>
          </w:tcPr>
          <w:p>
            <w:pPr>
              <w:spacing w:after="0"/>
              <w:rPr>
                <w:sz w:val="21"/>
                <w:szCs w:val="21"/>
                <w:color w:val="auto"/>
              </w:rPr>
            </w:pPr>
          </w:p>
        </w:tc>
        <w:tc>
          <w:tcPr>
            <w:tcW w:w="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1,090,983</w:t>
            </w:r>
          </w:p>
        </w:tc>
        <w:tc>
          <w:tcPr>
            <w:tcW w:w="8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u w:val="single" w:color="auto"/>
                <w:color w:val="auto"/>
                <w:w w:val="98"/>
              </w:rPr>
              <w:t>$</w:t>
            </w:r>
            <w:r>
              <w:rPr>
                <w:rFonts w:ascii="Arial" w:cs="Arial" w:eastAsia="Arial" w:hAnsi="Arial"/>
                <w:sz w:val="16"/>
                <w:szCs w:val="16"/>
                <w:b w:val="1"/>
                <w:bCs w:val="1"/>
                <w:color w:val="auto"/>
                <w:w w:val="98"/>
              </w:rPr>
              <w:t xml:space="preserve"> (1,046,152)</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gridSpan w:val="3"/>
          </w:tcPr>
          <w:p>
            <w:pPr>
              <w:jc w:val="right"/>
              <w:ind w:right="26"/>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(3,373)</w:t>
            </w:r>
          </w:p>
        </w:tc>
        <w:tc>
          <w:tcPr>
            <w:tcW w:w="80" w:type="dxa"/>
            <w:vAlign w:val="bottom"/>
          </w:tcPr>
          <w:p>
            <w:pPr>
              <w:spacing w:after="0"/>
              <w:rPr>
                <w:sz w:val="21"/>
                <w:szCs w:val="21"/>
                <w:color w:val="auto"/>
              </w:rPr>
            </w:pPr>
          </w:p>
        </w:tc>
        <w:tc>
          <w:tcPr>
            <w:tcW w:w="920" w:type="dxa"/>
            <w:vAlign w:val="bottom"/>
            <w:tcBorders>
              <w:top w:val="single" w:sz="8" w:color="auto"/>
              <w:bottom w:val="single" w:sz="8" w:color="auto"/>
            </w:tcBorders>
            <w:gridSpan w:val="3"/>
          </w:tcPr>
          <w:p>
            <w:pPr>
              <w:jc w:val="right"/>
              <w:ind w:right="1"/>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1,871,799</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3"/>
            <w:vMerge w:val="restart"/>
          </w:tcPr>
          <w:p>
            <w:pPr>
              <w:jc w:val="center"/>
              <w:ind w:left="2"/>
              <w:spacing w:after="0"/>
              <w:rPr>
                <w:sz w:val="20"/>
                <w:szCs w:val="20"/>
                <w:color w:val="auto"/>
              </w:rPr>
            </w:pPr>
            <w:r>
              <w:rPr>
                <w:rFonts w:ascii="Arial" w:cs="Arial" w:eastAsia="Arial" w:hAnsi="Arial"/>
                <w:sz w:val="14"/>
                <w:szCs w:val="14"/>
                <w:b w:val="1"/>
                <w:bCs w:val="1"/>
                <w:color w:val="auto"/>
              </w:rPr>
              <w:t>Issued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5"/>
            <w:vMerge w:val="restart"/>
          </w:tcPr>
          <w:p>
            <w:pPr>
              <w:jc w:val="right"/>
              <w:ind w:right="24"/>
              <w:spacing w:after="0"/>
              <w:rPr>
                <w:sz w:val="20"/>
                <w:szCs w:val="20"/>
                <w:color w:val="auto"/>
              </w:rPr>
            </w:pPr>
            <w:r>
              <w:rPr>
                <w:rFonts w:ascii="Arial" w:cs="Arial" w:eastAsia="Arial" w:hAnsi="Arial"/>
                <w:sz w:val="14"/>
                <w:szCs w:val="14"/>
                <w:b w:val="1"/>
                <w:bCs w:val="1"/>
                <w:color w:val="auto"/>
              </w:rPr>
              <w:t>Treasury</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Treasury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3"/>
          </w:tcPr>
          <w:p>
            <w:pPr>
              <w:jc w:val="center"/>
              <w:ind w:left="2"/>
              <w:spacing w:after="0" w:line="149"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5"/>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79"/>
              <w:spacing w:after="0" w:line="149" w:lineRule="exact"/>
              <w:rPr>
                <w:sz w:val="20"/>
                <w:szCs w:val="20"/>
                <w:color w:val="auto"/>
              </w:rPr>
            </w:pPr>
            <w:r>
              <w:rPr>
                <w:rFonts w:ascii="Arial" w:cs="Arial" w:eastAsia="Arial" w:hAnsi="Arial"/>
                <w:sz w:val="14"/>
                <w:szCs w:val="14"/>
                <w:b w:val="1"/>
                <w:bCs w:val="1"/>
                <w:color w:val="auto"/>
              </w:rPr>
              <w:t>Paid In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5"/>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3"/>
          </w:tcPr>
          <w:p>
            <w:pPr>
              <w:jc w:val="center"/>
              <w:ind w:left="2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5"/>
          </w:tcPr>
          <w:p>
            <w:pPr>
              <w:jc w:val="right"/>
              <w:ind w:right="84"/>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5"/>
          </w:tcPr>
          <w:p>
            <w:pPr>
              <w:ind w:left="100"/>
              <w:spacing w:after="0"/>
              <w:rPr>
                <w:sz w:val="20"/>
                <w:szCs w:val="20"/>
                <w:color w:val="auto"/>
              </w:rPr>
            </w:pPr>
            <w:r>
              <w:rPr>
                <w:rFonts w:ascii="Arial" w:cs="Arial" w:eastAsia="Arial" w:hAnsi="Arial"/>
                <w:sz w:val="14"/>
                <w:szCs w:val="14"/>
                <w:b w:val="1"/>
                <w:bCs w:val="1"/>
                <w:color w:val="auto"/>
              </w:rPr>
              <w:t>Earnings</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Income (Loss)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December 31, 2023</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137,387</w:t>
            </w: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6"/>
                <w:szCs w:val="16"/>
                <w:b w:val="1"/>
                <w:bCs w:val="1"/>
                <w:color w:val="auto"/>
              </w:rPr>
              <w:t>87,573</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1,374</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$ 832,475</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rPr>
              <w:t>$ 855,084</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 (899,093)</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1,778</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$ 791,618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w w:val="87"/>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w w:val="99"/>
              </w:rPr>
              <w:t>—</w:t>
            </w:r>
          </w:p>
        </w:tc>
        <w:tc>
          <w:tcPr>
            <w:tcW w:w="940" w:type="dxa"/>
            <w:vAlign w:val="bottom"/>
            <w:gridSpan w:val="6"/>
          </w:tcPr>
          <w:p>
            <w:pPr>
              <w:jc w:val="right"/>
              <w:spacing w:after="0"/>
              <w:rPr>
                <w:sz w:val="20"/>
                <w:szCs w:val="20"/>
                <w:color w:val="auto"/>
              </w:rPr>
            </w:pPr>
            <w:r>
              <w:rPr>
                <w:rFonts w:ascii="Arial" w:cs="Arial" w:eastAsia="Arial" w:hAnsi="Arial"/>
                <w:sz w:val="16"/>
                <w:szCs w:val="16"/>
                <w:color w:val="auto"/>
              </w:rPr>
              <w:t>131,761</w:t>
            </w:r>
          </w:p>
        </w:tc>
        <w:tc>
          <w:tcPr>
            <w:tcW w:w="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131,761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comprehensive loss, net of tax</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(1,621)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2"/>
          </w:tcPr>
          <w:p>
            <w:pPr>
              <w:spacing w:after="0" w:line="162" w:lineRule="exact"/>
              <w:rPr>
                <w:sz w:val="20"/>
                <w:szCs w:val="20"/>
                <w:color w:val="auto"/>
              </w:rPr>
            </w:pPr>
            <w:r>
              <w:rPr>
                <w:rFonts w:ascii="Arial" w:cs="Arial" w:eastAsia="Arial" w:hAnsi="Arial"/>
                <w:sz w:val="16"/>
                <w:szCs w:val="16"/>
                <w:color w:val="auto"/>
              </w:rPr>
              <w:t>Indirect repurchase of shares for minimum tax</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gridSpan w:val="4"/>
            <w:vMerge w:val="restart"/>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gridSpan w:val="4"/>
            <w:vMerge w:val="restart"/>
          </w:tcPr>
          <w:p>
            <w:pPr>
              <w:jc w:val="right"/>
              <w:ind w:right="140"/>
              <w:spacing w:after="0"/>
              <w:rPr>
                <w:sz w:val="20"/>
                <w:szCs w:val="20"/>
                <w:color w:val="auto"/>
              </w:rPr>
            </w:pPr>
            <w:r>
              <w:rPr>
                <w:rFonts w:ascii="Arial" w:cs="Arial" w:eastAsia="Arial" w:hAnsi="Arial"/>
                <w:sz w:val="16"/>
                <w:szCs w:val="16"/>
                <w:color w:val="auto"/>
                <w:w w:val="99"/>
              </w:rPr>
              <w:t>—</w:t>
            </w: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(11,444)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gridSpan w:val="3"/>
            <w:vMerge w:val="restart"/>
          </w:tcPr>
          <w:p>
            <w:pPr>
              <w:jc w:val="right"/>
              <w:spacing w:after="0"/>
              <w:rPr>
                <w:sz w:val="20"/>
                <w:szCs w:val="20"/>
                <w:color w:val="auto"/>
              </w:rPr>
            </w:pPr>
            <w:r>
              <w:rPr>
                <w:rFonts w:ascii="Arial" w:cs="Arial" w:eastAsia="Arial" w:hAnsi="Arial"/>
                <w:sz w:val="16"/>
                <w:szCs w:val="16"/>
                <w:color w:val="auto"/>
              </w:rPr>
              <w:t>(11,444)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6"/>
                <w:szCs w:val="16"/>
                <w:color w:val="auto"/>
              </w:rPr>
              <w:t>withholding</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gridSpan w:val="4"/>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4"/>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Restricted stock units and awards</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6"/>
                <w:szCs w:val="16"/>
                <w:color w:val="auto"/>
              </w:rPr>
              <w:t>Performance share units</w:t>
            </w:r>
          </w:p>
        </w:tc>
        <w:tc>
          <w:tcPr>
            <w:tcW w:w="960" w:type="dxa"/>
            <w:vAlign w:val="bottom"/>
            <w:gridSpan w:val="4"/>
          </w:tcPr>
          <w:p>
            <w:pPr>
              <w:jc w:val="right"/>
              <w:spacing w:after="0"/>
              <w:rPr>
                <w:sz w:val="20"/>
                <w:szCs w:val="20"/>
                <w:color w:val="auto"/>
              </w:rPr>
            </w:pPr>
            <w:r>
              <w:rPr>
                <w:rFonts w:ascii="Arial" w:cs="Arial" w:eastAsia="Arial" w:hAnsi="Arial"/>
                <w:sz w:val="16"/>
                <w:szCs w:val="16"/>
                <w:color w:val="auto"/>
              </w:rPr>
              <w:t>273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w w:val="87"/>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4"/>
          </w:tcPr>
          <w:p>
            <w:pPr>
              <w:jc w:val="right"/>
              <w:ind w:right="14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7,431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7,431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6"/>
                <w:szCs w:val="16"/>
                <w:color w:val="auto"/>
              </w:rPr>
              <w:t>Business acquisitions</w:t>
            </w:r>
          </w:p>
        </w:tc>
        <w:tc>
          <w:tcPr>
            <w:tcW w:w="960" w:type="dxa"/>
            <w:vAlign w:val="bottom"/>
            <w:gridSpan w:val="4"/>
          </w:tcPr>
          <w:p>
            <w:pPr>
              <w:jc w:val="right"/>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w w:val="87"/>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1</w:t>
            </w:r>
          </w:p>
        </w:tc>
        <w:tc>
          <w:tcPr>
            <w:tcW w:w="940" w:type="dxa"/>
            <w:vAlign w:val="bottom"/>
            <w:gridSpan w:val="5"/>
          </w:tcPr>
          <w:p>
            <w:pPr>
              <w:jc w:val="right"/>
              <w:spacing w:after="0"/>
              <w:rPr>
                <w:sz w:val="20"/>
                <w:szCs w:val="20"/>
                <w:color w:val="auto"/>
              </w:rPr>
            </w:pPr>
            <w:r>
              <w:rPr>
                <w:rFonts w:ascii="Arial" w:cs="Arial" w:eastAsia="Arial" w:hAnsi="Arial"/>
                <w:sz w:val="16"/>
                <w:szCs w:val="16"/>
                <w:color w:val="auto"/>
              </w:rPr>
              <w:t>10,174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4"/>
          </w:tcPr>
          <w:p>
            <w:pPr>
              <w:jc w:val="right"/>
              <w:ind w:right="140"/>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10,175</w:t>
            </w: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September 30, 2024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137,934</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6"/>
                <w:szCs w:val="16"/>
                <w:b w:val="1"/>
                <w:bCs w:val="1"/>
                <w:color w:val="auto"/>
              </w:rPr>
              <w:t>87,746</w:t>
            </w:r>
          </w:p>
        </w:tc>
        <w:tc>
          <w:tcPr>
            <w:tcW w:w="10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1,379</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$ 850,076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rPr>
              <w:t>$ 986,845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 (910,537)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157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$ 927,920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28" w:right="359" w:bottom="1440" w:gutter="0" w:footer="0" w:header="0"/>
        </w:sectPr>
      </w:pPr>
    </w:p>
    <w:bookmarkStart w:id="6" w:name="page7"/>
    <w:bookmarkEnd w:id="6"/>
    <w:p>
      <w:pPr>
        <w:ind w:left="4620"/>
        <w:spacing w:after="0"/>
        <w:rPr>
          <w:sz w:val="20"/>
          <w:szCs w:val="20"/>
          <w:color w:val="auto"/>
        </w:rPr>
      </w:pPr>
      <w:r>
        <w:rPr>
          <w:rFonts w:ascii="Arial" w:cs="Arial" w:eastAsia="Arial" w:hAnsi="Arial"/>
          <w:sz w:val="18"/>
          <w:szCs w:val="18"/>
          <w:b w:val="1"/>
          <w:bCs w:val="1"/>
          <w:color w:val="auto"/>
        </w:rPr>
        <w:t>CBIZ, INC. AND SUBSIDIARIES</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20" w:type="dxa"/>
            <w:vAlign w:val="bottom"/>
            <w:tcBorders>
              <w:bottom w:val="single" w:sz="8" w:color="CCEEFF"/>
            </w:tcBorders>
          </w:tcPr>
          <w:p>
            <w:pPr>
              <w:spacing w:after="0"/>
              <w:rPr>
                <w:sz w:val="17"/>
                <w:szCs w:val="17"/>
                <w:color w:val="auto"/>
              </w:rPr>
            </w:pPr>
          </w:p>
        </w:tc>
        <w:tc>
          <w:tcPr>
            <w:tcW w:w="28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9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2024</w:t>
            </w:r>
          </w:p>
        </w:tc>
      </w:tr>
      <w:tr>
        <w:trPr>
          <w:trHeight w:val="191"/>
        </w:trPr>
        <w:tc>
          <w:tcPr>
            <w:tcW w:w="20" w:type="dxa"/>
            <w:vAlign w:val="bottom"/>
            <w:shd w:val="clear" w:color="auto" w:fill="CCEEFF"/>
          </w:tcPr>
          <w:p>
            <w:pPr>
              <w:spacing w:after="0"/>
              <w:rPr>
                <w:sz w:val="16"/>
                <w:szCs w:val="16"/>
                <w:color w:val="auto"/>
              </w:rPr>
            </w:pPr>
          </w:p>
        </w:tc>
        <w:tc>
          <w:tcPr>
            <w:tcW w:w="7760" w:type="dxa"/>
            <w:vAlign w:val="bottom"/>
            <w:gridSpan w:val="3"/>
            <w:shd w:val="clear" w:color="auto" w:fill="CCEEFF"/>
          </w:tcPr>
          <w:p>
            <w:pPr>
              <w:spacing w:after="0" w:line="157" w:lineRule="exact"/>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8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Net income</w:t>
            </w:r>
          </w:p>
        </w:tc>
        <w:tc>
          <w:tcPr>
            <w:tcW w:w="49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rPr>
              <w:t>194,861</w:t>
            </w: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rPr>
              <w:t>131,761</w:t>
            </w:r>
          </w:p>
        </w:tc>
      </w:tr>
      <w:tr>
        <w:trPr>
          <w:trHeight w:val="216"/>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Gain on sale of operations, net of tax</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(4,953)</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Depreciation and amortization expense</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28,593</w:t>
            </w: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Bad debt expense, net of recoveries</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2,099</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Adjustment to contingent purchase price liabilities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6,340</w:t>
            </w: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19,572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7,431</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w:t>
            </w: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434</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Changes in assets and liabilities, net of acquisitions and divestitures: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Accounts receivable, net</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(186,884)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(99,967)</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Other assets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(7,202)</w:t>
            </w: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3,032</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Income taxes payable</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10,385</w:t>
            </w:r>
          </w:p>
        </w:tc>
      </w:tr>
      <w:tr>
        <w:trPr>
          <w:trHeight w:val="215"/>
        </w:trPr>
        <w:tc>
          <w:tcPr>
            <w:tcW w:w="20" w:type="dxa"/>
            <w:vAlign w:val="bottom"/>
          </w:tcPr>
          <w:p>
            <w:pPr>
              <w:spacing w:after="0"/>
              <w:rPr>
                <w:sz w:val="18"/>
                <w:szCs w:val="18"/>
                <w:color w:val="auto"/>
              </w:rPr>
            </w:pPr>
          </w:p>
        </w:tc>
        <w:tc>
          <w:tcPr>
            <w:tcW w:w="7760" w:type="dxa"/>
            <w:vAlign w:val="bottom"/>
            <w:gridSpan w:val="3"/>
          </w:tcPr>
          <w:p>
            <w:pPr>
              <w:ind w:left="200"/>
              <w:spacing w:after="0"/>
              <w:rPr>
                <w:sz w:val="20"/>
                <w:szCs w:val="20"/>
                <w:color w:val="auto"/>
              </w:rPr>
            </w:pPr>
            <w:r>
              <w:rPr>
                <w:rFonts w:ascii="Arial" w:cs="Arial" w:eastAsia="Arial" w:hAnsi="Arial"/>
                <w:sz w:val="16"/>
                <w:szCs w:val="16"/>
                <w:color w:val="auto"/>
              </w:rPr>
              <w:t>Accrued personnel costs</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(33,962)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(17,055)</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(61,656)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2,428</w:t>
            </w:r>
          </w:p>
        </w:tc>
      </w:tr>
      <w:tr>
        <w:trPr>
          <w:trHeight w:val="209"/>
        </w:trPr>
        <w:tc>
          <w:tcPr>
            <w:tcW w:w="20" w:type="dxa"/>
            <w:vAlign w:val="bottom"/>
            <w:tcBorders>
              <w:bottom w:val="single" w:sz="8" w:color="CCEEFF"/>
            </w:tcBorders>
          </w:tcPr>
          <w:p>
            <w:pPr>
              <w:spacing w:after="0"/>
              <w:rPr>
                <w:sz w:val="18"/>
                <w:szCs w:val="18"/>
                <w:color w:val="auto"/>
              </w:rPr>
            </w:pPr>
          </w:p>
        </w:tc>
        <w:tc>
          <w:tcPr>
            <w:tcW w:w="7760" w:type="dxa"/>
            <w:vAlign w:val="bottom"/>
            <w:tcBorders>
              <w:bottom w:val="single" w:sz="8" w:color="CCEEFF"/>
            </w:tcBorders>
            <w:gridSpan w:val="3"/>
          </w:tcPr>
          <w:p>
            <w:pPr>
              <w:ind w:left="200"/>
              <w:spacing w:after="0"/>
              <w:rPr>
                <w:sz w:val="20"/>
                <w:szCs w:val="20"/>
                <w:color w:val="auto"/>
              </w:rPr>
            </w:pPr>
            <w:r>
              <w:rPr>
                <w:rFonts w:ascii="Arial" w:cs="Arial" w:eastAsia="Arial" w:hAnsi="Arial"/>
                <w:sz w:val="16"/>
                <w:szCs w:val="16"/>
                <w:b w:val="1"/>
                <w:bCs w:val="1"/>
                <w:color w:val="auto"/>
              </w:rPr>
              <w:t>Net cash provided by operating activities</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48,846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68,168</w:t>
            </w: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282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Cash flows from investing activities:</w:t>
            </w:r>
          </w:p>
        </w:tc>
        <w:tc>
          <w:tcPr>
            <w:tcW w:w="4940" w:type="dxa"/>
            <w:vAlign w:val="bottom"/>
            <w:tcBorders>
              <w:bottom w:val="single" w:sz="8" w:color="CCEEFF"/>
            </w:tcBorders>
            <w:gridSpan w:val="2"/>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Business acquisitions and purchases of client lists, net of cash acquired</w:t>
            </w:r>
          </w:p>
        </w:tc>
        <w:tc>
          <w:tcPr>
            <w:tcW w:w="3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(22,930)</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Purchases of client fund investments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(16,100)</w:t>
            </w:r>
          </w:p>
        </w:tc>
      </w:tr>
      <w:tr>
        <w:trPr>
          <w:trHeight w:val="215"/>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Proceeds from the sales and maturities of client fund investments</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31,645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15,156</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Proceeds from sales of divested operations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9,883</w:t>
            </w:r>
          </w:p>
        </w:tc>
      </w:tr>
      <w:tr>
        <w:trPr>
          <w:trHeight w:val="215"/>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Change in funds held for clients</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902</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Additions to property and equipment</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(9,650)</w:t>
            </w:r>
          </w:p>
        </w:tc>
      </w:tr>
      <w:tr>
        <w:trPr>
          <w:trHeight w:val="215"/>
        </w:trPr>
        <w:tc>
          <w:tcPr>
            <w:tcW w:w="20" w:type="dxa"/>
            <w:vAlign w:val="bottom"/>
            <w:tcBorders>
              <w:bottom w:val="single" w:sz="8" w:color="CCEEFF"/>
            </w:tcBorders>
          </w:tcPr>
          <w:p>
            <w:pPr>
              <w:spacing w:after="0"/>
              <w:rPr>
                <w:sz w:val="18"/>
                <w:szCs w:val="18"/>
                <w:color w:val="auto"/>
              </w:rPr>
            </w:pPr>
          </w:p>
        </w:tc>
        <w:tc>
          <w:tcPr>
            <w:tcW w:w="77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(2,172)</w:t>
            </w:r>
          </w:p>
        </w:tc>
      </w:tr>
      <w:tr>
        <w:trPr>
          <w:trHeight w:val="210"/>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b w:val="1"/>
                <w:bCs w:val="1"/>
                <w:color w:val="auto"/>
              </w:rPr>
              <w:t>Net cash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(16,913)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(24,911)</w:t>
            </w:r>
          </w:p>
        </w:tc>
      </w:tr>
      <w:tr>
        <w:trPr>
          <w:trHeight w:val="155"/>
        </w:trPr>
        <w:tc>
          <w:tcPr>
            <w:tcW w:w="20" w:type="dxa"/>
            <w:vAlign w:val="bottom"/>
          </w:tcPr>
          <w:p>
            <w:pPr>
              <w:spacing w:after="0"/>
              <w:rPr>
                <w:sz w:val="13"/>
                <w:szCs w:val="13"/>
                <w:color w:val="auto"/>
              </w:rPr>
            </w:pPr>
          </w:p>
        </w:tc>
        <w:tc>
          <w:tcPr>
            <w:tcW w:w="7760" w:type="dxa"/>
            <w:vAlign w:val="bottom"/>
            <w:gridSpan w:val="3"/>
          </w:tcPr>
          <w:p>
            <w:pPr>
              <w:spacing w:after="0" w:line="155" w:lineRule="exact"/>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Proceeds from bank debt</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1,193,400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818,500</w:t>
            </w:r>
          </w:p>
        </w:tc>
      </w:tr>
      <w:tr>
        <w:trPr>
          <w:trHeight w:val="215"/>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Payment of bank debt</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(1,027,500)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(793,600)</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Deferred financing costs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r>
      <w:tr>
        <w:trPr>
          <w:trHeight w:val="215"/>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Payment for acquisition of treasury stock</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(127,754)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Indirect repurchase of shares for minimum tax withholding</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(11,444)</w:t>
            </w:r>
          </w:p>
        </w:tc>
      </w:tr>
      <w:tr>
        <w:trPr>
          <w:trHeight w:val="215"/>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Changes in client funds obligations</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(48,338)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(47,576)</w:t>
            </w:r>
          </w:p>
        </w:tc>
      </w:tr>
      <w:tr>
        <w:trPr>
          <w:trHeight w:val="217"/>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Payment of contingent consideration for acquisitions and client lists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(50,861)</w:t>
            </w:r>
          </w:p>
        </w:tc>
      </w:tr>
      <w:tr>
        <w:trPr>
          <w:trHeight w:val="215"/>
        </w:trPr>
        <w:tc>
          <w:tcPr>
            <w:tcW w:w="20" w:type="dxa"/>
            <w:vAlign w:val="bottom"/>
            <w:tcBorders>
              <w:bottom w:val="single" w:sz="8" w:color="CCEEFF"/>
            </w:tcBorders>
          </w:tcPr>
          <w:p>
            <w:pPr>
              <w:spacing w:after="0"/>
              <w:rPr>
                <w:sz w:val="18"/>
                <w:szCs w:val="18"/>
                <w:color w:val="auto"/>
              </w:rPr>
            </w:pPr>
          </w:p>
        </w:tc>
        <w:tc>
          <w:tcPr>
            <w:tcW w:w="77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ind w:left="200"/>
              <w:spacing w:after="0"/>
              <w:rPr>
                <w:sz w:val="20"/>
                <w:szCs w:val="20"/>
                <w:color w:val="auto"/>
              </w:rPr>
            </w:pPr>
            <w:r>
              <w:rPr>
                <w:rFonts w:ascii="Arial" w:cs="Arial" w:eastAsia="Arial" w:hAnsi="Arial"/>
                <w:sz w:val="16"/>
                <w:szCs w:val="16"/>
                <w:b w:val="1"/>
                <w:bCs w:val="1"/>
                <w:color w:val="auto"/>
              </w:rPr>
              <w:t>Net cash used in financing activities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(75,233)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(85,222)</w:t>
            </w: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b w:val="1"/>
                <w:bCs w:val="1"/>
                <w:color w:val="auto"/>
              </w:rPr>
              <w:t>Net decrease in cash, cash equivalents and restricted cash</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(43,300)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(41,965)</w:t>
            </w:r>
          </w:p>
        </w:tc>
      </w:tr>
      <w:tr>
        <w:trPr>
          <w:trHeight w:val="216"/>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beginning of year</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187,170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157,148</w:t>
            </w:r>
          </w:p>
        </w:tc>
      </w:tr>
      <w:tr>
        <w:trPr>
          <w:trHeight w:val="210"/>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143,870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115,183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9520" w:type="dxa"/>
            <w:vAlign w:val="bottom"/>
            <w:gridSpan w:val="6"/>
          </w:tcPr>
          <w:p>
            <w:pPr>
              <w:spacing w:after="0"/>
              <w:rPr>
                <w:sz w:val="20"/>
                <w:szCs w:val="20"/>
                <w:color w:val="auto"/>
              </w:rPr>
            </w:pPr>
            <w:r>
              <w:rPr>
                <w:rFonts w:ascii="Arial" w:cs="Arial" w:eastAsia="Arial" w:hAnsi="Arial"/>
                <w:sz w:val="16"/>
                <w:szCs w:val="16"/>
                <w:b w:val="1"/>
                <w:bCs w:val="1"/>
                <w:color w:val="auto"/>
              </w:rPr>
              <w:t>Reconciliation of cash, cash equivalents and restricted cash to the Condensed Consolidated Balance Sheets: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r>
      <w:tr>
        <w:trPr>
          <w:trHeight w:val="215"/>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44,455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43,104</w:t>
            </w:r>
          </w:p>
        </w:tc>
      </w:tr>
      <w:tr>
        <w:trPr>
          <w:trHeight w:val="216"/>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equivalents included in funds held for clients</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82,446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71,003</w:t>
            </w:r>
          </w:p>
        </w:tc>
      </w:tr>
      <w:tr>
        <w:trPr>
          <w:trHeight w:val="210"/>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6"/>
                <w:szCs w:val="16"/>
                <w:b w:val="1"/>
                <w:bCs w:val="1"/>
                <w:color w:val="auto"/>
              </w:rPr>
              <w:t>Total cash, cash equivalents and restricted cash</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143,870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115,183</w:t>
            </w: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the accompanying notes to the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CBIZ,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u w:val="single" w:color="auto"/>
          <w:color w:val="auto"/>
        </w:rPr>
        <w:t>Selected Terms Used in Notes to the Condensed Consolidated Financial Statements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ASA – </w:t>
      </w:r>
      <w:r>
        <w:rPr>
          <w:rFonts w:ascii="Arial" w:cs="Arial" w:eastAsia="Arial" w:hAnsi="Arial"/>
          <w:sz w:val="18"/>
          <w:szCs w:val="18"/>
          <w:color w:val="auto"/>
        </w:rPr>
        <w:t>Administrative Service Agreement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ASC – </w:t>
      </w:r>
      <w:r>
        <w:rPr>
          <w:rFonts w:ascii="Arial" w:cs="Arial" w:eastAsia="Arial" w:hAnsi="Arial"/>
          <w:sz w:val="18"/>
          <w:szCs w:val="18"/>
          <w:color w:val="auto"/>
        </w:rPr>
        <w:t>Accounting Standards Codification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ASU – </w:t>
      </w:r>
      <w:r>
        <w:rPr>
          <w:rFonts w:ascii="Arial" w:cs="Arial" w:eastAsia="Arial" w:hAnsi="Arial"/>
          <w:sz w:val="18"/>
          <w:szCs w:val="18"/>
          <w:color w:val="auto"/>
        </w:rPr>
        <w:t>Accounting Standards Update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CPA firm – </w:t>
      </w:r>
      <w:r>
        <w:rPr>
          <w:rFonts w:ascii="Arial" w:cs="Arial" w:eastAsia="Arial" w:hAnsi="Arial"/>
          <w:sz w:val="18"/>
          <w:szCs w:val="18"/>
          <w:color w:val="auto"/>
        </w:rPr>
        <w:t>Certified Public Accounting firm</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FASB – </w:t>
      </w:r>
      <w:r>
        <w:rPr>
          <w:rFonts w:ascii="Arial" w:cs="Arial" w:eastAsia="Arial" w:hAnsi="Arial"/>
          <w:sz w:val="18"/>
          <w:szCs w:val="18"/>
          <w:color w:val="auto"/>
        </w:rPr>
        <w:t>The Financial Accounting Standards Board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GAAP – </w:t>
      </w:r>
      <w:r>
        <w:rPr>
          <w:rFonts w:ascii="Arial" w:cs="Arial" w:eastAsia="Arial" w:hAnsi="Arial"/>
          <w:sz w:val="18"/>
          <w:szCs w:val="18"/>
          <w:color w:val="auto"/>
        </w:rPr>
        <w:t>United States Generally Accepted Accounting Principles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SOFR – </w:t>
      </w:r>
      <w:r>
        <w:rPr>
          <w:rFonts w:ascii="Arial" w:cs="Arial" w:eastAsia="Arial" w:hAnsi="Arial"/>
          <w:sz w:val="18"/>
          <w:szCs w:val="18"/>
          <w:color w:val="auto"/>
        </w:rPr>
        <w:t>Secured Overnight Financing Rate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SEC – </w:t>
      </w:r>
      <w:r>
        <w:rPr>
          <w:rFonts w:ascii="Arial" w:cs="Arial" w:eastAsia="Arial" w:hAnsi="Arial"/>
          <w:sz w:val="18"/>
          <w:szCs w:val="18"/>
          <w:color w:val="auto"/>
        </w:rPr>
        <w:t>United States Securities and Exchange Commission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Marcum Acquisition </w:t>
      </w:r>
      <w:r>
        <w:rPr>
          <w:rFonts w:ascii="Arial" w:cs="Arial" w:eastAsia="Arial" w:hAnsi="Arial"/>
          <w:sz w:val="18"/>
          <w:szCs w:val="18"/>
          <w:color w:val="auto"/>
        </w:rPr>
        <w:t>- the Transaction</w:t>
      </w:r>
    </w:p>
    <w:p>
      <w:pPr>
        <w:spacing w:after="0" w:line="117" w:lineRule="exact"/>
        <w:rPr>
          <w:sz w:val="20"/>
          <w:szCs w:val="20"/>
          <w:color w:val="auto"/>
        </w:rPr>
      </w:pPr>
    </w:p>
    <w:p>
      <w:pPr>
        <w:ind w:left="980" w:right="120"/>
        <w:spacing w:after="0" w:line="257"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CBIZ, Inc., together with all of its wholly-owned subsidiaries ("CBIZ," the "Company," "we," "us," or</w:t>
      </w:r>
      <w:r>
        <w:rPr>
          <w:rFonts w:ascii="Arial" w:cs="Arial" w:eastAsia="Arial" w:hAnsi="Arial"/>
          <w:sz w:val="18"/>
          <w:szCs w:val="18"/>
          <w:b w:val="1"/>
          <w:bCs w:val="1"/>
          <w:color w:val="auto"/>
        </w:rPr>
        <w:t xml:space="preserve"> </w:t>
      </w:r>
      <w:r>
        <w:rPr>
          <w:rFonts w:ascii="Arial" w:cs="Arial" w:eastAsia="Arial" w:hAnsi="Arial"/>
          <w:sz w:val="18"/>
          <w:szCs w:val="18"/>
          <w:color w:val="auto"/>
        </w:rPr>
        <w:t>"our"), is a diversified services company which, acting through its subsidiaries, has been providing professional business services since 1996, primarily to small and medium-sized businesses, as well as individuals, governmental entities, and not-for-profit enterprises throughout the United States and parts of Canada. CBIZ manages and reports its operations along three practice groups: Financial Services, Benefits and Insurance Services and National Practices. A further description of products and services offered by each of the practice groups is provided in Note 13, Segment Disclosures.</w:t>
      </w:r>
    </w:p>
    <w:p>
      <w:pPr>
        <w:spacing w:after="0" w:line="74" w:lineRule="exact"/>
        <w:rPr>
          <w:sz w:val="20"/>
          <w:szCs w:val="20"/>
          <w:color w:val="auto"/>
        </w:rPr>
      </w:pPr>
    </w:p>
    <w:p>
      <w:pPr>
        <w:ind w:left="980" w:right="40"/>
        <w:spacing w:after="0" w:line="248" w:lineRule="auto"/>
        <w:rPr>
          <w:sz w:val="20"/>
          <w:szCs w:val="20"/>
          <w:color w:val="auto"/>
        </w:rPr>
      </w:pPr>
      <w:r>
        <w:rPr>
          <w:rFonts w:ascii="Arial" w:cs="Arial" w:eastAsia="Arial" w:hAnsi="Arial"/>
          <w:sz w:val="18"/>
          <w:szCs w:val="18"/>
          <w:color w:val="auto"/>
        </w:rPr>
        <w:t>In December of 2024, the Company formed CBIZ CC, LLC and CBIZ Campus One Cell, LLC (collectively “Captive Insurance Company”). CBIZ CC, LLC, a sponsored captive core, is not expected to have any underwriting activities. CBIZ Campus One Cell, LLC, a sponsored captive cell, provides stop-loss coverages to a group of higher education institutions who self-insure their medical and prescription drug benefits. The term of the insurance policy is one year, and the insured is billed at the beginning of each month for that month’s coverage. Registered in the State of Vermont, the Captive Insurance Company commenced operation on January 1, 2025.</w:t>
      </w:r>
    </w:p>
    <w:p>
      <w:pPr>
        <w:spacing w:after="0" w:line="67" w:lineRule="exact"/>
        <w:rPr>
          <w:sz w:val="20"/>
          <w:szCs w:val="20"/>
          <w:color w:val="auto"/>
        </w:rPr>
      </w:pPr>
    </w:p>
    <w:p>
      <w:pPr>
        <w:ind w:left="980" w:right="100"/>
        <w:spacing w:after="0" w:line="271" w:lineRule="auto"/>
        <w:rPr>
          <w:sz w:val="20"/>
          <w:szCs w:val="20"/>
          <w:color w:val="auto"/>
        </w:rPr>
      </w:pPr>
      <w:r>
        <w:rPr>
          <w:rFonts w:ascii="Arial" w:cs="Arial" w:eastAsia="Arial" w:hAnsi="Arial"/>
          <w:sz w:val="18"/>
          <w:szCs w:val="18"/>
          <w:color w:val="auto"/>
        </w:rPr>
        <w:t>The Captive Insurance Company recognizes premium as revenue monthly as monthly coverage expires. For the three and nine months ended September 30, 2025, revenue from the Captive Insurance Company was not material.</w:t>
      </w:r>
    </w:p>
    <w:p>
      <w:pPr>
        <w:spacing w:after="0" w:line="59" w:lineRule="exact"/>
        <w:rPr>
          <w:sz w:val="20"/>
          <w:szCs w:val="20"/>
          <w:color w:val="auto"/>
        </w:rPr>
      </w:pPr>
    </w:p>
    <w:p>
      <w:pPr>
        <w:ind w:left="980" w:right="40"/>
        <w:spacing w:after="0" w:line="257" w:lineRule="auto"/>
        <w:rPr>
          <w:sz w:val="20"/>
          <w:szCs w:val="20"/>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color w:val="auto"/>
        </w:rPr>
        <w:t>The accompanying unaudited condensed consolidated financial statements include the operations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CBIZ, Inc. and all of its wholly-owned subsidiaries after elimination of all intercompany balances and transactions. We have determined that our relationship with certain CPA firms with which we maintain ASAs qualify as variable interest entities ("VIEs"), and we are the primary beneficiary of such VIEs. The accompanying unaudited condensed consolidated financial statements do not reflect the operations or accounts of the VIEs as the impact is not material to the financial condition, results of operations, or cash flows of CBIZ.</w:t>
      </w:r>
    </w:p>
    <w:p>
      <w:pPr>
        <w:spacing w:after="0" w:line="74" w:lineRule="exact"/>
        <w:rPr>
          <w:sz w:val="20"/>
          <w:szCs w:val="20"/>
          <w:color w:val="auto"/>
        </w:rPr>
      </w:pPr>
    </w:p>
    <w:p>
      <w:pPr>
        <w:ind w:left="980" w:right="40"/>
        <w:spacing w:after="0" w:line="257" w:lineRule="auto"/>
        <w:rPr>
          <w:sz w:val="20"/>
          <w:szCs w:val="20"/>
          <w:color w:val="auto"/>
        </w:rPr>
      </w:pPr>
      <w:r>
        <w:rPr>
          <w:rFonts w:ascii="Arial" w:cs="Arial" w:eastAsia="Arial" w:hAnsi="Arial"/>
          <w:sz w:val="18"/>
          <w:szCs w:val="18"/>
          <w:b w:val="1"/>
          <w:bCs w:val="1"/>
          <w:color w:val="auto"/>
        </w:rPr>
        <w:t xml:space="preserve">Unaudited Interim Financial Statements: </w:t>
      </w:r>
      <w:r>
        <w:rPr>
          <w:rFonts w:ascii="Arial" w:cs="Arial" w:eastAsia="Arial" w:hAnsi="Arial"/>
          <w:sz w:val="18"/>
          <w:szCs w:val="18"/>
          <w:color w:val="auto"/>
        </w:rPr>
        <w:t>The unaudited condensed consolidated financial statements have been prepared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GAAP and applicable rules and regulations of the SEC regarding interim financial reporting. Certain information and note disclosures normally included in the financial statements prepared in accordance with GAAP have been condensed or omitted pursuant to such rules and regulations. As such, the information included in this Quarterly Report on Form 10-Q should be read in conjunction with the consolidated financial statements and accompanying notes included in our Annual Report on Form 10-K for the year ended December 31, 2024.</w:t>
      </w:r>
    </w:p>
    <w:p>
      <w:pPr>
        <w:spacing w:after="0" w:line="74" w:lineRule="exact"/>
        <w:rPr>
          <w:sz w:val="20"/>
          <w:szCs w:val="20"/>
          <w:color w:val="auto"/>
        </w:rPr>
      </w:pPr>
    </w:p>
    <w:p>
      <w:pPr>
        <w:ind w:left="980"/>
        <w:spacing w:after="0" w:line="262" w:lineRule="auto"/>
        <w:rPr>
          <w:sz w:val="20"/>
          <w:szCs w:val="20"/>
          <w:color w:val="auto"/>
        </w:rPr>
      </w:pPr>
      <w:r>
        <w:rPr>
          <w:rFonts w:ascii="Arial" w:cs="Arial" w:eastAsia="Arial" w:hAnsi="Arial"/>
          <w:sz w:val="18"/>
          <w:szCs w:val="18"/>
          <w:color w:val="auto"/>
        </w:rPr>
        <w:t>In the opinion of CBIZ management, the accompanying unaudited condensed consolidated financial statements reflect all normal recurring adjustments necessary to present fairly the financial condition, results of operations, and cash flows for the interim periods presented, but are not necessarily indicative of the results of operations to be anticipated for the full year ending December 31, 2025.</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8" w:name="page9"/>
    <w:bookmarkEnd w:id="8"/>
    <w:p>
      <w:pPr>
        <w:ind w:left="980" w:right="40"/>
        <w:spacing w:after="0" w:line="268"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unaudited condensed consolidated financial statements in conformity with GAAP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us to make estimates and assumptions that affect the amounts reported and disclosed in the financial statements and the accompanying notes. Changes in circumstances could cause actual results to differ materially from these estimates.</w:t>
      </w:r>
    </w:p>
    <w:p>
      <w:pPr>
        <w:spacing w:after="0" w:line="63" w:lineRule="exact"/>
        <w:rPr>
          <w:sz w:val="20"/>
          <w:szCs w:val="20"/>
          <w:color w:val="auto"/>
        </w:rPr>
      </w:pPr>
    </w:p>
    <w:p>
      <w:pPr>
        <w:ind w:left="980" w:right="80"/>
        <w:spacing w:after="0" w:line="268" w:lineRule="auto"/>
        <w:rPr>
          <w:sz w:val="20"/>
          <w:szCs w:val="20"/>
          <w:color w:val="auto"/>
        </w:rPr>
      </w:pPr>
      <w:r>
        <w:rPr>
          <w:rFonts w:ascii="Arial" w:cs="Arial" w:eastAsia="Arial" w:hAnsi="Arial"/>
          <w:sz w:val="18"/>
          <w:szCs w:val="18"/>
          <w:b w:val="1"/>
          <w:bCs w:val="1"/>
          <w:color w:val="auto"/>
        </w:rPr>
        <w:t xml:space="preserve">Changes in Accounting Policies: </w:t>
      </w:r>
      <w:r>
        <w:rPr>
          <w:rFonts w:ascii="Arial" w:cs="Arial" w:eastAsia="Arial" w:hAnsi="Arial"/>
          <w:sz w:val="18"/>
          <w:szCs w:val="18"/>
          <w:color w:val="auto"/>
        </w:rPr>
        <w:t>We have consistently applied the accounting policies for the periods presented as described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in Note 1, Basis of Presentation and Significant Accounting Policies, to the consolidated financial statements contained in our Annual Report on Form 10-K for the year ended December 31, 2024.</w:t>
      </w:r>
    </w:p>
    <w:p>
      <w:pPr>
        <w:spacing w:after="0" w:line="6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Certain prior period amounts have been reclassified to conform to current year presentation.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PRONOUNCEMENTS</w:t>
      </w:r>
    </w:p>
    <w:p>
      <w:pPr>
        <w:spacing w:after="0" w:line="225" w:lineRule="exact"/>
        <w:rPr>
          <w:sz w:val="20"/>
          <w:szCs w:val="20"/>
          <w:color w:val="auto"/>
        </w:rPr>
      </w:pPr>
    </w:p>
    <w:p>
      <w:pPr>
        <w:ind w:left="980" w:right="20"/>
        <w:spacing w:after="0" w:line="262" w:lineRule="auto"/>
        <w:rPr>
          <w:sz w:val="20"/>
          <w:szCs w:val="20"/>
          <w:color w:val="auto"/>
        </w:rPr>
      </w:pPr>
      <w:r>
        <w:rPr>
          <w:rFonts w:ascii="Arial" w:cs="Arial" w:eastAsia="Arial" w:hAnsi="Arial"/>
          <w:sz w:val="18"/>
          <w:szCs w:val="18"/>
          <w:b w:val="1"/>
          <w:bCs w:val="1"/>
          <w:color w:val="auto"/>
        </w:rPr>
        <w:t xml:space="preserve">Recent Accounting Pronouncements - </w:t>
      </w:r>
      <w:r>
        <w:rPr>
          <w:rFonts w:ascii="Arial" w:cs="Arial" w:eastAsia="Arial" w:hAnsi="Arial"/>
          <w:sz w:val="18"/>
          <w:szCs w:val="18"/>
          <w:color w:val="auto"/>
        </w:rPr>
        <w:t>The FASB ASC is the sole source of authoritative GAAP other than the SEC issued</w:t>
      </w:r>
      <w:r>
        <w:rPr>
          <w:rFonts w:ascii="Arial" w:cs="Arial" w:eastAsia="Arial" w:hAnsi="Arial"/>
          <w:sz w:val="18"/>
          <w:szCs w:val="18"/>
          <w:b w:val="1"/>
          <w:bCs w:val="1"/>
          <w:color w:val="auto"/>
        </w:rPr>
        <w:t xml:space="preserve"> </w:t>
      </w:r>
      <w:r>
        <w:rPr>
          <w:rFonts w:ascii="Arial" w:cs="Arial" w:eastAsia="Arial" w:hAnsi="Arial"/>
          <w:sz w:val="18"/>
          <w:szCs w:val="18"/>
          <w:color w:val="auto"/>
        </w:rPr>
        <w:t>rules and regulations that apply only to SEC registrants. The FASB issues an ASU to communicate changes to the FASB codification. We assess and review the impact of all ASUs. ASUs not listed below were reviewed and determined to be either not applicable or are not expected to have a material impact on the consolidated financial statements.</w:t>
      </w:r>
    </w:p>
    <w:p>
      <w:pPr>
        <w:spacing w:after="0" w:line="176" w:lineRule="exact"/>
        <w:rPr>
          <w:sz w:val="20"/>
          <w:szCs w:val="20"/>
          <w:color w:val="auto"/>
        </w:rPr>
      </w:pPr>
    </w:p>
    <w:p>
      <w:pPr>
        <w:ind w:left="980" w:right="160"/>
        <w:spacing w:after="0" w:line="278" w:lineRule="auto"/>
        <w:rPr>
          <w:sz w:val="20"/>
          <w:szCs w:val="20"/>
          <w:color w:val="auto"/>
        </w:rPr>
      </w:pPr>
      <w:r>
        <w:rPr>
          <w:rFonts w:ascii="Arial" w:cs="Arial" w:eastAsia="Arial" w:hAnsi="Arial"/>
          <w:sz w:val="17"/>
          <w:szCs w:val="17"/>
          <w:b w:val="1"/>
          <w:bCs w:val="1"/>
          <w:i w:val="1"/>
          <w:iCs w:val="1"/>
          <w:color w:val="auto"/>
        </w:rPr>
        <w:t xml:space="preserve">Accounting Standards Issued But Not Yet Adopted - </w:t>
      </w:r>
      <w:r>
        <w:rPr>
          <w:rFonts w:ascii="Arial" w:cs="Arial" w:eastAsia="Arial" w:hAnsi="Arial"/>
          <w:sz w:val="17"/>
          <w:szCs w:val="17"/>
          <w:color w:val="auto"/>
        </w:rPr>
        <w:t>In December 2023, the FASB issued ASU No. 2023-09, Income Taxes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(Topic 740): Improvements to Income Tax Disclosures, which requires disaggregated information about an entity's effective tax rate reconciliation as well as information on income tax paid. The guidance in this ASU is effective for public companies with annual periods beginning after December 15, 2024. We plan to adopt the guidance for the fiscal year ending December 31, 2025. We are currently evaluating the effect of adopting this ASU will have on our consolidated financial statements.</w:t>
      </w:r>
    </w:p>
    <w:p>
      <w:pPr>
        <w:spacing w:after="0" w:line="164" w:lineRule="exact"/>
        <w:rPr>
          <w:sz w:val="20"/>
          <w:szCs w:val="20"/>
          <w:color w:val="auto"/>
        </w:rPr>
      </w:pPr>
    </w:p>
    <w:p>
      <w:pPr>
        <w:ind w:left="980"/>
        <w:spacing w:after="0" w:line="257" w:lineRule="auto"/>
        <w:rPr>
          <w:sz w:val="20"/>
          <w:szCs w:val="20"/>
          <w:color w:val="auto"/>
        </w:rPr>
      </w:pPr>
      <w:r>
        <w:rPr>
          <w:rFonts w:ascii="Arial" w:cs="Arial" w:eastAsia="Arial" w:hAnsi="Arial"/>
          <w:sz w:val="18"/>
          <w:szCs w:val="18"/>
          <w:color w:val="auto"/>
        </w:rPr>
        <w:t>In November 2024, the FASB issued ASU No. 2024-03, Income Statement - Reporting Comprehensive Income - Expense Disaggregation Disclosure (Subtopic 220-40): Disaggregation of Income Statement Expenses, which requires disaggregated disclosure of certain costs and expenses on an interim and annual basis in the notes to the financial statements. The guidance in this ASU is effective for public companies with annual periods beginning after December 15, 2026, and interim periods within the annual period beginning after December 15, 2027. We plan to adopt the guidance for the fiscal year ending December 31, 2027. We are currently evaluating the effect of adopting this ASU will have on our consolidated financial statements.</w:t>
      </w:r>
    </w:p>
    <w:p>
      <w:pPr>
        <w:spacing w:after="0" w:line="182" w:lineRule="exact"/>
        <w:rPr>
          <w:sz w:val="20"/>
          <w:szCs w:val="20"/>
          <w:color w:val="auto"/>
        </w:rPr>
      </w:pPr>
    </w:p>
    <w:p>
      <w:pPr>
        <w:ind w:left="980" w:right="80"/>
        <w:spacing w:after="0" w:line="256" w:lineRule="auto"/>
        <w:rPr>
          <w:sz w:val="20"/>
          <w:szCs w:val="20"/>
          <w:color w:val="auto"/>
        </w:rPr>
      </w:pPr>
      <w:r>
        <w:rPr>
          <w:rFonts w:ascii="Arial" w:cs="Arial" w:eastAsia="Arial" w:hAnsi="Arial"/>
          <w:sz w:val="18"/>
          <w:szCs w:val="18"/>
          <w:color w:val="auto"/>
        </w:rPr>
        <w:t>In May 2025, the FASB issued ASU No. 2025-03, Business Combinations (Topic 805) and Consolidation (Topic 810): Determining the Accounting Acquirer in the Acquisition of a Variable Interest Entity (VIE). This standard clarifies the guidance in determining the accounting acquirer in a business combination effected primarily by exchanging equity interests when the acquiree is a VIE that meets the definition of a business. The guidance in this ASU is effective for public companies with annual periods beginning after December 15, 2026, and interim periods within those fiscal years. We plan to adopt the guidance for the fiscal year ending December 31, 2027. We are currently evaluating the effect of adopting this ASU will have on our consolidated financial statements.</w:t>
      </w:r>
    </w:p>
    <w:p>
      <w:pPr>
        <w:spacing w:after="0" w:line="183" w:lineRule="exact"/>
        <w:rPr>
          <w:sz w:val="20"/>
          <w:szCs w:val="20"/>
          <w:color w:val="auto"/>
        </w:rPr>
      </w:pPr>
    </w:p>
    <w:p>
      <w:pPr>
        <w:ind w:left="980" w:right="200"/>
        <w:spacing w:after="0" w:line="255" w:lineRule="auto"/>
        <w:rPr>
          <w:sz w:val="20"/>
          <w:szCs w:val="20"/>
          <w:color w:val="auto"/>
        </w:rPr>
      </w:pPr>
      <w:r>
        <w:rPr>
          <w:rFonts w:ascii="Arial" w:cs="Arial" w:eastAsia="Arial" w:hAnsi="Arial"/>
          <w:sz w:val="18"/>
          <w:szCs w:val="18"/>
          <w:color w:val="auto"/>
        </w:rPr>
        <w:t>In July 2025, the FASB issued ASU No. 2025-05, Financial Instruments-Credit Losses (Topic 326): Measurement of Credit Losses for Accounts Receivable and Contract Assets (“ASU 2025-05”). This standard introduces a practical expedient for all entities when estimating expected credit losses on current accounts receivable and contract assets arising from transactions under ASC Topic 606. Under the practical expedient, entities may assume that conditions at the balance sheet date remain unchanged over the life of the asset, reducing the need to prepare complex macroeconomic forecasts for short-term balances. ASU 2025-05 is effective for public companies with annual periods beginning after December 15, 2025, and interim periods within such fiscal years, with prospective application required. Early adoption is permitted. We do not expect adoption of ASU 2025-05 to have a material impact on our consolidated financial statements.</w:t>
      </w:r>
    </w:p>
    <w:p>
      <w:pPr>
        <w:spacing w:after="0" w:line="185" w:lineRule="exact"/>
        <w:rPr>
          <w:sz w:val="20"/>
          <w:szCs w:val="20"/>
          <w:color w:val="auto"/>
        </w:rPr>
      </w:pPr>
    </w:p>
    <w:p>
      <w:pPr>
        <w:ind w:left="980" w:right="140"/>
        <w:spacing w:after="0" w:line="287" w:lineRule="auto"/>
        <w:rPr>
          <w:sz w:val="20"/>
          <w:szCs w:val="20"/>
          <w:color w:val="auto"/>
        </w:rPr>
      </w:pPr>
      <w:r>
        <w:rPr>
          <w:rFonts w:ascii="Arial" w:cs="Arial" w:eastAsia="Arial" w:hAnsi="Arial"/>
          <w:sz w:val="18"/>
          <w:szCs w:val="18"/>
          <w:color w:val="auto"/>
        </w:rPr>
        <w:t>In September 2025, the FASB issued ASU No. 2025-06, Intangibles - Goodwill and Other Internal-Use Software (Subtopic 350-40): Targeted Improvement to the Accounting for Internal-Use Software ("ASU</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9" w:name="page10"/>
    <w:bookmarkEnd w:id="9"/>
    <w:p>
      <w:pPr>
        <w:ind w:left="980" w:right="120"/>
        <w:spacing w:after="0" w:line="259" w:lineRule="auto"/>
        <w:rPr>
          <w:sz w:val="20"/>
          <w:szCs w:val="20"/>
          <w:color w:val="auto"/>
        </w:rPr>
      </w:pPr>
      <w:r>
        <w:rPr>
          <w:rFonts w:ascii="Arial" w:cs="Arial" w:eastAsia="Arial" w:hAnsi="Arial"/>
          <w:sz w:val="18"/>
          <w:szCs w:val="18"/>
          <w:color w:val="auto"/>
        </w:rPr>
        <w:t>2025-06"). This ASU modernizes the recognition and disclosure framework for internal-use software by removing all references to software project development stages and providing new guidance on how to evaluate whether the probable-to-complete recognition threshold has been met. This ASU is effective for annual periods beginning after December 15, 2027, and interim periods within those annual reporting periods. We plan to adopt the guidance for the fiscal year ending December 31, 2028. We are currently evaluating the effect of adopting this ASU will have on our consolidated financial statements.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BUSINESS COMBINATIONS</w:t>
      </w:r>
    </w:p>
    <w:p>
      <w:pPr>
        <w:spacing w:after="0" w:line="362"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Acquisition of Marcum LLP</w:t>
      </w:r>
    </w:p>
    <w:p>
      <w:pPr>
        <w:spacing w:after="0" w:line="102" w:lineRule="exact"/>
        <w:rPr>
          <w:sz w:val="20"/>
          <w:szCs w:val="20"/>
          <w:color w:val="auto"/>
        </w:rPr>
      </w:pPr>
    </w:p>
    <w:p>
      <w:pPr>
        <w:jc w:val="both"/>
        <w:ind w:left="980" w:right="60"/>
        <w:spacing w:after="0" w:line="257" w:lineRule="auto"/>
        <w:rPr>
          <w:sz w:val="20"/>
          <w:szCs w:val="20"/>
          <w:color w:val="auto"/>
        </w:rPr>
      </w:pPr>
      <w:r>
        <w:rPr>
          <w:rFonts w:ascii="Arial" w:cs="Arial" w:eastAsia="Arial" w:hAnsi="Arial"/>
          <w:sz w:val="18"/>
          <w:szCs w:val="18"/>
          <w:color w:val="auto"/>
        </w:rPr>
        <w:t>On November 1, 2024, the Company completed the acquisition of Marcum LLP (“Marcum”). The acquisition is referred to herein as the “Transaction”. During the nine months ended September 30, 2025, the Company’s Condensed Consolidated Statements of Comprehensive Income included $840.0 million of revenue and $162.3 million of operating income associated with the results of operations of Marcum.</w:t>
      </w:r>
    </w:p>
    <w:p>
      <w:pPr>
        <w:spacing w:after="0" w:line="6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Stock Consideration Transferred</w:t>
      </w:r>
    </w:p>
    <w:p>
      <w:pPr>
        <w:spacing w:after="0" w:line="115" w:lineRule="exact"/>
        <w:rPr>
          <w:sz w:val="20"/>
          <w:szCs w:val="20"/>
          <w:color w:val="auto"/>
        </w:rPr>
      </w:pPr>
    </w:p>
    <w:p>
      <w:pPr>
        <w:ind w:left="980"/>
        <w:spacing w:after="0" w:line="251" w:lineRule="auto"/>
        <w:rPr>
          <w:sz w:val="20"/>
          <w:szCs w:val="20"/>
          <w:color w:val="auto"/>
        </w:rPr>
      </w:pPr>
      <w:r>
        <w:rPr>
          <w:rFonts w:ascii="Arial" w:cs="Arial" w:eastAsia="Arial" w:hAnsi="Arial"/>
          <w:sz w:val="18"/>
          <w:szCs w:val="18"/>
          <w:color w:val="auto"/>
        </w:rPr>
        <w:t>At closing, the purchase price for the Transaction consisted of an aggregate of $1,063.0 million of cash consideration and $934.7 million of the Company’s common stock, which represents a fair value of 13.6 million shares issued as stock consideration. Pursuant to the terms of the Transaction, with respect to the 13.6 million shares of stock consideration, approximately 5.8 million shares, in aggregate, were delivered from January 2, 2025 to October 1, 2025 to the selling shareholders. The remaining 7.8 million shares will be delivered in 26 monthly installments starting on November 3, 2025.</w:t>
      </w:r>
    </w:p>
    <w:p>
      <w:pPr>
        <w:spacing w:after="0" w:line="6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Measurement Period Adjustments</w:t>
      </w:r>
    </w:p>
    <w:p>
      <w:pPr>
        <w:spacing w:after="0" w:line="102" w:lineRule="exact"/>
        <w:rPr>
          <w:sz w:val="20"/>
          <w:szCs w:val="20"/>
          <w:color w:val="auto"/>
        </w:rPr>
      </w:pPr>
    </w:p>
    <w:p>
      <w:pPr>
        <w:ind w:left="980" w:right="40"/>
        <w:spacing w:after="0" w:line="251" w:lineRule="auto"/>
        <w:rPr>
          <w:sz w:val="20"/>
          <w:szCs w:val="20"/>
          <w:color w:val="auto"/>
        </w:rPr>
      </w:pPr>
      <w:r>
        <w:rPr>
          <w:rFonts w:ascii="Arial" w:cs="Arial" w:eastAsia="Arial" w:hAnsi="Arial"/>
          <w:sz w:val="18"/>
          <w:szCs w:val="18"/>
          <w:color w:val="auto"/>
        </w:rPr>
        <w:t>The Company applied the acquisition method of accounting in accordance with ASC 805, Business Combinations (“ASC 805”) and recognized assets acquired and liabilities assumed at their fair value as of the date of acquisition, with the excess purchase consideration recorded to goodwill. As the Company finalizes the estimation of the fair value of the assets acquired and liabilities assumed, additional adjustments may be recorded during the measurement period (a period not to exceed 12 months from the acquisition date).</w:t>
      </w:r>
    </w:p>
    <w:p>
      <w:pPr>
        <w:spacing w:after="0" w:line="79" w:lineRule="exact"/>
        <w:rPr>
          <w:sz w:val="20"/>
          <w:szCs w:val="20"/>
          <w:color w:val="auto"/>
        </w:rPr>
      </w:pPr>
    </w:p>
    <w:p>
      <w:pPr>
        <w:ind w:left="980" w:right="20"/>
        <w:spacing w:after="0" w:line="247" w:lineRule="auto"/>
        <w:rPr>
          <w:sz w:val="20"/>
          <w:szCs w:val="20"/>
          <w:color w:val="auto"/>
        </w:rPr>
      </w:pPr>
      <w:r>
        <w:rPr>
          <w:rFonts w:ascii="Arial" w:cs="Arial" w:eastAsia="Arial" w:hAnsi="Arial"/>
          <w:sz w:val="18"/>
          <w:szCs w:val="18"/>
          <w:color w:val="auto"/>
        </w:rPr>
        <w:t>During the nine months ended September 30, 2025, the Company reassessed its estimates and inputs as new information about facts and circumstances that existed as of the acquisition date became known. As a result, the Company recorded a $5.8 million net reduction in goodwill as a measurement period adjustment. The reduction to goodwill consists of a $21.0 million adjustment reflecting a reduction of the estimated settlement amounts associated with an acquired liability from $61.0 million to</w:t>
      </w:r>
    </w:p>
    <w:p>
      <w:pPr>
        <w:spacing w:after="0" w:line="3" w:lineRule="exact"/>
        <w:rPr>
          <w:sz w:val="20"/>
          <w:szCs w:val="20"/>
          <w:color w:val="auto"/>
        </w:rPr>
      </w:pPr>
    </w:p>
    <w:p>
      <w:pPr>
        <w:ind w:left="980" w:right="280"/>
        <w:spacing w:after="0" w:line="242" w:lineRule="auto"/>
        <w:rPr>
          <w:sz w:val="20"/>
          <w:szCs w:val="20"/>
          <w:color w:val="auto"/>
        </w:rPr>
      </w:pPr>
      <w:r>
        <w:rPr>
          <w:rFonts w:ascii="Arial" w:cs="Arial" w:eastAsia="Arial" w:hAnsi="Arial"/>
          <w:sz w:val="18"/>
          <w:szCs w:val="18"/>
          <w:color w:val="auto"/>
        </w:rPr>
        <w:t>$40.0 million. The Company also recorded a $10.6 million increase to goodwill associated with accrued personnel costs, primarily as a result of recording an assumed liability associated with certain accrued personnel obligations previously unrecognized on the provisional opening balance sheet, and a $ 4.6 million increase to goodwill from a net decrease in assets acquired. The income statement impact, had those adjustments been made as of the acquisition date, was considered immaterial.</w:t>
      </w:r>
    </w:p>
    <w:p>
      <w:pPr>
        <w:sectPr>
          <w:pgSz w:w="11900" w:h="16838" w:orient="portrait"/>
          <w:cols w:equalWidth="0" w:num="1">
            <w:col w:w="11220"/>
          </w:cols>
          <w:pgMar w:left="320" w:top="110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type w:val="continuous"/>
        </w:sectPr>
      </w:pPr>
    </w:p>
    <w:bookmarkStart w:id="10" w:name="page11"/>
    <w:bookmarkEnd w:id="10"/>
    <w:p>
      <w:pPr>
        <w:ind w:left="980" w:right="220"/>
        <w:spacing w:after="0" w:line="271" w:lineRule="auto"/>
        <w:rPr>
          <w:sz w:val="20"/>
          <w:szCs w:val="20"/>
          <w:color w:val="auto"/>
        </w:rPr>
      </w:pPr>
      <w:r>
        <w:rPr>
          <w:rFonts w:ascii="Arial" w:cs="Arial" w:eastAsia="Arial" w:hAnsi="Arial"/>
          <w:sz w:val="18"/>
          <w:szCs w:val="18"/>
          <w:color w:val="auto"/>
        </w:rPr>
        <w:t>The following table summarizes the preliminary acquisition date fair value of net tangible and intangible assets acquired, net of liabilities assumed from Marcum, with the excess recorded as goodwill (in thousands):</w:t>
      </w:r>
    </w:p>
    <w:p>
      <w:pPr>
        <w:spacing w:after="0" w:line="356" w:lineRule="exact"/>
        <w:rPr>
          <w:sz w:val="20"/>
          <w:szCs w:val="20"/>
          <w:color w:val="auto"/>
        </w:rPr>
      </w:pPr>
    </w:p>
    <w:tbl>
      <w:tblPr>
        <w:tblLayout w:type="fixed"/>
        <w:tblInd w:w="980" w:type="dxa"/>
        <w:tblCellMar>
          <w:top w:w="0" w:type="dxa"/>
          <w:left w:w="0" w:type="dxa"/>
          <w:bottom w:w="0" w:type="dxa"/>
          <w:right w:w="0" w:type="dxa"/>
        </w:tblCellMar>
      </w:tblPr>
      <w:tr>
        <w:trPr>
          <w:trHeight w:val="247"/>
        </w:trPr>
        <w:tc>
          <w:tcPr>
            <w:tcW w:w="6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40" w:type="dxa"/>
            <w:vAlign w:val="bottom"/>
          </w:tcPr>
          <w:p>
            <w:pPr>
              <w:jc w:val="right"/>
              <w:ind w:right="430"/>
              <w:spacing w:after="0"/>
              <w:rPr>
                <w:sz w:val="20"/>
                <w:szCs w:val="20"/>
                <w:color w:val="auto"/>
              </w:rPr>
            </w:pPr>
            <w:r>
              <w:rPr>
                <w:rFonts w:ascii="Arial" w:cs="Arial" w:eastAsia="Arial" w:hAnsi="Arial"/>
                <w:sz w:val="18"/>
                <w:szCs w:val="18"/>
                <w:b w:val="1"/>
                <w:bCs w:val="1"/>
                <w:color w:val="auto"/>
              </w:rPr>
              <w:t>On November 1, 2024</w:t>
            </w:r>
          </w:p>
        </w:tc>
      </w:tr>
      <w:tr>
        <w:trPr>
          <w:trHeight w:val="278"/>
        </w:trPr>
        <w:tc>
          <w:tcPr>
            <w:tcW w:w="65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Fair Value</w:t>
            </w:r>
          </w:p>
        </w:tc>
      </w:tr>
      <w:tr>
        <w:trPr>
          <w:trHeight w:val="365"/>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consideration transferred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1,997,781</w:t>
            </w:r>
          </w:p>
        </w:tc>
      </w:tr>
      <w:tr>
        <w:trPr>
          <w:trHeight w:val="247"/>
        </w:trPr>
        <w:tc>
          <w:tcPr>
            <w:tcW w:w="6500" w:type="dxa"/>
            <w:vAlign w:val="bottom"/>
          </w:tcPr>
          <w:p>
            <w:pPr>
              <w:ind w:left="20"/>
              <w:spacing w:after="0"/>
              <w:rPr>
                <w:sz w:val="20"/>
                <w:szCs w:val="20"/>
                <w:color w:val="auto"/>
              </w:rPr>
            </w:pPr>
            <w:r>
              <w:rPr>
                <w:rFonts w:ascii="Arial" w:cs="Arial" w:eastAsia="Arial" w:hAnsi="Arial"/>
                <w:sz w:val="18"/>
                <w:szCs w:val="18"/>
                <w:color w:val="auto"/>
              </w:rPr>
              <w:t>Assets acquired:</w:t>
            </w:r>
          </w:p>
        </w:tc>
        <w:tc>
          <w:tcPr>
            <w:tcW w:w="32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23"/>
        </w:trPr>
        <w:tc>
          <w:tcPr>
            <w:tcW w:w="6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70"/>
        </w:trPr>
        <w:tc>
          <w:tcPr>
            <w:tcW w:w="6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 receivable</w:t>
            </w:r>
          </w:p>
        </w:tc>
        <w:tc>
          <w:tcPr>
            <w:tcW w:w="320" w:type="dxa"/>
            <w:vAlign w:val="bottom"/>
            <w:shd w:val="clear" w:color="auto" w:fill="CCEEFF"/>
          </w:tcPr>
          <w:p>
            <w:pPr>
              <w:spacing w:after="0"/>
              <w:rPr>
                <w:sz w:val="23"/>
                <w:szCs w:val="23"/>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169,391</w:t>
            </w:r>
          </w:p>
        </w:tc>
      </w:tr>
      <w:tr>
        <w:trPr>
          <w:trHeight w:val="270"/>
        </w:trPr>
        <w:tc>
          <w:tcPr>
            <w:tcW w:w="6500" w:type="dxa"/>
            <w:vAlign w:val="bottom"/>
          </w:tcPr>
          <w:p>
            <w:pPr>
              <w:ind w:left="240"/>
              <w:spacing w:after="0"/>
              <w:rPr>
                <w:sz w:val="20"/>
                <w:szCs w:val="20"/>
                <w:color w:val="auto"/>
              </w:rPr>
            </w:pPr>
            <w:r>
              <w:rPr>
                <w:rFonts w:ascii="Arial" w:cs="Arial" w:eastAsia="Arial" w:hAnsi="Arial"/>
                <w:sz w:val="18"/>
                <w:szCs w:val="18"/>
                <w:color w:val="auto"/>
              </w:rPr>
              <w:t>Unbilled revenue</w:t>
            </w:r>
          </w:p>
        </w:tc>
        <w:tc>
          <w:tcPr>
            <w:tcW w:w="320" w:type="dxa"/>
            <w:vAlign w:val="bottom"/>
          </w:tcPr>
          <w:p>
            <w:pPr>
              <w:spacing w:after="0"/>
              <w:rPr>
                <w:sz w:val="23"/>
                <w:szCs w:val="23"/>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23,247</w:t>
            </w:r>
          </w:p>
        </w:tc>
      </w:tr>
      <w:tr>
        <w:trPr>
          <w:trHeight w:val="270"/>
        </w:trPr>
        <w:tc>
          <w:tcPr>
            <w:tcW w:w="6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23"/>
                <w:szCs w:val="23"/>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24,431</w:t>
            </w:r>
          </w:p>
        </w:tc>
      </w:tr>
      <w:tr>
        <w:trPr>
          <w:trHeight w:val="270"/>
        </w:trPr>
        <w:tc>
          <w:tcPr>
            <w:tcW w:w="6500" w:type="dxa"/>
            <w:vAlign w:val="bottom"/>
          </w:tcPr>
          <w:p>
            <w:pPr>
              <w:ind w:left="240"/>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23"/>
                <w:szCs w:val="23"/>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31,221</w:t>
            </w:r>
          </w:p>
        </w:tc>
      </w:tr>
      <w:tr>
        <w:trPr>
          <w:trHeight w:val="270"/>
        </w:trPr>
        <w:tc>
          <w:tcPr>
            <w:tcW w:w="6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intangible assets</w:t>
            </w:r>
          </w:p>
        </w:tc>
        <w:tc>
          <w:tcPr>
            <w:tcW w:w="320" w:type="dxa"/>
            <w:vAlign w:val="bottom"/>
            <w:shd w:val="clear" w:color="auto" w:fill="CCEEFF"/>
          </w:tcPr>
          <w:p>
            <w:pPr>
              <w:spacing w:after="0"/>
              <w:rPr>
                <w:sz w:val="23"/>
                <w:szCs w:val="23"/>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490,000</w:t>
            </w:r>
          </w:p>
        </w:tc>
      </w:tr>
      <w:tr>
        <w:trPr>
          <w:trHeight w:val="270"/>
        </w:trPr>
        <w:tc>
          <w:tcPr>
            <w:tcW w:w="6500" w:type="dxa"/>
            <w:vAlign w:val="bottom"/>
          </w:tcPr>
          <w:p>
            <w:pPr>
              <w:ind w:left="240"/>
              <w:spacing w:after="0"/>
              <w:rPr>
                <w:sz w:val="20"/>
                <w:szCs w:val="20"/>
                <w:color w:val="auto"/>
              </w:rPr>
            </w:pPr>
            <w:r>
              <w:rPr>
                <w:rFonts w:ascii="Arial" w:cs="Arial" w:eastAsia="Arial" w:hAnsi="Arial"/>
                <w:sz w:val="18"/>
                <w:szCs w:val="18"/>
                <w:color w:val="auto"/>
              </w:rPr>
              <w:t>Right-of-use asset</w:t>
            </w:r>
          </w:p>
        </w:tc>
        <w:tc>
          <w:tcPr>
            <w:tcW w:w="320" w:type="dxa"/>
            <w:vAlign w:val="bottom"/>
          </w:tcPr>
          <w:p>
            <w:pPr>
              <w:spacing w:after="0"/>
              <w:rPr>
                <w:sz w:val="23"/>
                <w:szCs w:val="23"/>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166,840</w:t>
            </w:r>
          </w:p>
        </w:tc>
      </w:tr>
      <w:tr>
        <w:trPr>
          <w:trHeight w:val="270"/>
        </w:trPr>
        <w:tc>
          <w:tcPr>
            <w:tcW w:w="6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 net</w:t>
            </w:r>
          </w:p>
        </w:tc>
        <w:tc>
          <w:tcPr>
            <w:tcW w:w="320" w:type="dxa"/>
            <w:vAlign w:val="bottom"/>
            <w:tcBorders>
              <w:bottom w:val="single" w:sz="8" w:color="auto"/>
            </w:tcBorders>
            <w:shd w:val="clear" w:color="auto" w:fill="CCEEFF"/>
          </w:tcPr>
          <w:p>
            <w:pPr>
              <w:spacing w:after="0"/>
              <w:rPr>
                <w:sz w:val="23"/>
                <w:szCs w:val="23"/>
                <w:color w:val="auto"/>
              </w:rPr>
            </w:pP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3,533</w:t>
            </w:r>
          </w:p>
        </w:tc>
      </w:tr>
      <w:tr>
        <w:trPr>
          <w:trHeight w:val="241"/>
        </w:trPr>
        <w:tc>
          <w:tcPr>
            <w:tcW w:w="6500" w:type="dxa"/>
            <w:vAlign w:val="bottom"/>
          </w:tcPr>
          <w:p>
            <w:pPr>
              <w:ind w:left="20"/>
              <w:spacing w:after="0"/>
              <w:rPr>
                <w:sz w:val="20"/>
                <w:szCs w:val="20"/>
                <w:color w:val="auto"/>
              </w:rPr>
            </w:pPr>
            <w:r>
              <w:rPr>
                <w:rFonts w:ascii="Arial" w:cs="Arial" w:eastAsia="Arial" w:hAnsi="Arial"/>
                <w:sz w:val="18"/>
                <w:szCs w:val="18"/>
                <w:color w:val="auto"/>
              </w:rPr>
              <w:t>Total identifiable assets acquired</w:t>
            </w:r>
          </w:p>
        </w:tc>
        <w:tc>
          <w:tcPr>
            <w:tcW w:w="32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908,663</w:t>
            </w:r>
          </w:p>
        </w:tc>
      </w:tr>
      <w:tr>
        <w:trPr>
          <w:trHeight w:val="23"/>
        </w:trPr>
        <w:tc>
          <w:tcPr>
            <w:tcW w:w="6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assumed:</w:t>
            </w:r>
          </w:p>
        </w:tc>
        <w:tc>
          <w:tcPr>
            <w:tcW w:w="32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shd w:val="clear" w:color="auto" w:fill="CCEEFF"/>
          </w:tcPr>
          <w:p>
            <w:pPr>
              <w:spacing w:after="0"/>
              <w:rPr>
                <w:sz w:val="20"/>
                <w:szCs w:val="20"/>
                <w:color w:val="auto"/>
              </w:rPr>
            </w:pPr>
          </w:p>
        </w:tc>
      </w:tr>
      <w:tr>
        <w:trPr>
          <w:trHeight w:val="270"/>
        </w:trPr>
        <w:tc>
          <w:tcPr>
            <w:tcW w:w="6500" w:type="dxa"/>
            <w:vAlign w:val="bottom"/>
          </w:tcPr>
          <w:p>
            <w:pPr>
              <w:ind w:left="240"/>
              <w:spacing w:after="0"/>
              <w:rPr>
                <w:sz w:val="20"/>
                <w:szCs w:val="20"/>
                <w:color w:val="auto"/>
              </w:rPr>
            </w:pPr>
            <w:r>
              <w:rPr>
                <w:rFonts w:ascii="Arial" w:cs="Arial" w:eastAsia="Arial" w:hAnsi="Arial"/>
                <w:sz w:val="18"/>
                <w:szCs w:val="18"/>
                <w:color w:val="auto"/>
              </w:rPr>
              <w:t>Account payable</w:t>
            </w:r>
          </w:p>
        </w:tc>
        <w:tc>
          <w:tcPr>
            <w:tcW w:w="320" w:type="dxa"/>
            <w:vAlign w:val="bottom"/>
          </w:tcPr>
          <w:p>
            <w:pPr>
              <w:spacing w:after="0"/>
              <w:rPr>
                <w:sz w:val="23"/>
                <w:szCs w:val="23"/>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27,278</w:t>
            </w:r>
          </w:p>
        </w:tc>
      </w:tr>
      <w:tr>
        <w:trPr>
          <w:trHeight w:val="270"/>
        </w:trPr>
        <w:tc>
          <w:tcPr>
            <w:tcW w:w="6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personnel costs</w:t>
            </w:r>
          </w:p>
        </w:tc>
        <w:tc>
          <w:tcPr>
            <w:tcW w:w="320" w:type="dxa"/>
            <w:vAlign w:val="bottom"/>
            <w:shd w:val="clear" w:color="auto" w:fill="CCEEFF"/>
          </w:tcPr>
          <w:p>
            <w:pPr>
              <w:spacing w:after="0"/>
              <w:rPr>
                <w:sz w:val="23"/>
                <w:szCs w:val="23"/>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55,220</w:t>
            </w:r>
          </w:p>
        </w:tc>
      </w:tr>
      <w:tr>
        <w:trPr>
          <w:trHeight w:val="270"/>
        </w:trPr>
        <w:tc>
          <w:tcPr>
            <w:tcW w:w="650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23"/>
                <w:szCs w:val="23"/>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67,156</w:t>
            </w:r>
          </w:p>
        </w:tc>
      </w:tr>
      <w:tr>
        <w:trPr>
          <w:trHeight w:val="270"/>
        </w:trPr>
        <w:tc>
          <w:tcPr>
            <w:tcW w:w="6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Contingent purchase price assumed (current and non-current)</w:t>
            </w:r>
          </w:p>
        </w:tc>
        <w:tc>
          <w:tcPr>
            <w:tcW w:w="320" w:type="dxa"/>
            <w:vAlign w:val="bottom"/>
            <w:shd w:val="clear" w:color="auto" w:fill="CCEEFF"/>
          </w:tcPr>
          <w:p>
            <w:pPr>
              <w:spacing w:after="0"/>
              <w:rPr>
                <w:sz w:val="23"/>
                <w:szCs w:val="23"/>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w:t>
            </w:r>
          </w:p>
        </w:tc>
      </w:tr>
      <w:tr>
        <w:trPr>
          <w:trHeight w:val="270"/>
        </w:trPr>
        <w:tc>
          <w:tcPr>
            <w:tcW w:w="6500" w:type="dxa"/>
            <w:vAlign w:val="bottom"/>
          </w:tcPr>
          <w:p>
            <w:pPr>
              <w:ind w:left="240"/>
              <w:spacing w:after="0"/>
              <w:rPr>
                <w:sz w:val="20"/>
                <w:szCs w:val="20"/>
                <w:color w:val="auto"/>
              </w:rPr>
            </w:pPr>
            <w:r>
              <w:rPr>
                <w:rFonts w:ascii="Arial" w:cs="Arial" w:eastAsia="Arial" w:hAnsi="Arial"/>
                <w:sz w:val="18"/>
                <w:szCs w:val="18"/>
                <w:color w:val="auto"/>
              </w:rPr>
              <w:t>Lease liabilities (current and non-current)</w:t>
            </w:r>
          </w:p>
        </w:tc>
        <w:tc>
          <w:tcPr>
            <w:tcW w:w="320" w:type="dxa"/>
            <w:vAlign w:val="bottom"/>
          </w:tcPr>
          <w:p>
            <w:pPr>
              <w:spacing w:after="0"/>
              <w:rPr>
                <w:sz w:val="23"/>
                <w:szCs w:val="23"/>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174,256</w:t>
            </w:r>
          </w:p>
        </w:tc>
      </w:tr>
      <w:tr>
        <w:trPr>
          <w:trHeight w:val="27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shd w:val="clear" w:color="auto" w:fill="CCEEFF"/>
          </w:tcPr>
          <w:p>
            <w:pPr>
              <w:spacing w:after="0"/>
              <w:rPr>
                <w:sz w:val="23"/>
                <w:szCs w:val="23"/>
                <w:color w:val="auto"/>
              </w:rPr>
            </w:pP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r>
      <w:tr>
        <w:trPr>
          <w:trHeight w:val="240"/>
        </w:trPr>
        <w:tc>
          <w:tcPr>
            <w:tcW w:w="6500" w:type="dxa"/>
            <w:vAlign w:val="bottom"/>
          </w:tcPr>
          <w:p>
            <w:pPr>
              <w:ind w:left="220"/>
              <w:spacing w:after="0"/>
              <w:rPr>
                <w:sz w:val="20"/>
                <w:szCs w:val="20"/>
                <w:color w:val="auto"/>
              </w:rPr>
            </w:pPr>
            <w:r>
              <w:rPr>
                <w:rFonts w:ascii="Arial" w:cs="Arial" w:eastAsia="Arial" w:hAnsi="Arial"/>
                <w:sz w:val="18"/>
                <w:szCs w:val="18"/>
                <w:color w:val="auto"/>
              </w:rPr>
              <w:t>Total liabilities assumed</w:t>
            </w:r>
          </w:p>
        </w:tc>
        <w:tc>
          <w:tcPr>
            <w:tcW w:w="32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350,152</w:t>
            </w:r>
          </w:p>
        </w:tc>
      </w:tr>
      <w:tr>
        <w:trPr>
          <w:trHeight w:val="23"/>
        </w:trPr>
        <w:tc>
          <w:tcPr>
            <w:tcW w:w="6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63"/>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 acquired</w:t>
            </w:r>
          </w:p>
        </w:tc>
        <w:tc>
          <w:tcPr>
            <w:tcW w:w="320" w:type="dxa"/>
            <w:vAlign w:val="bottom"/>
            <w:tcBorders>
              <w:bottom w:val="single" w:sz="8" w:color="CCEEFF"/>
            </w:tcBorders>
            <w:shd w:val="clear" w:color="auto" w:fill="CCEEFF"/>
          </w:tcPr>
          <w:p>
            <w:pPr>
              <w:spacing w:after="0"/>
              <w:rPr>
                <w:sz w:val="22"/>
                <w:szCs w:val="22"/>
                <w:color w:val="auto"/>
              </w:rPr>
            </w:pP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558,511</w:t>
            </w:r>
          </w:p>
        </w:tc>
      </w:tr>
      <w:tr>
        <w:trPr>
          <w:trHeight w:val="264"/>
        </w:trPr>
        <w:tc>
          <w:tcPr>
            <w:tcW w:w="6500" w:type="dxa"/>
            <w:vAlign w:val="bottom"/>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1,439,270</w:t>
            </w:r>
          </w:p>
        </w:tc>
      </w:tr>
      <w:tr>
        <w:trPr>
          <w:trHeight w:val="20"/>
        </w:trPr>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980" w:right="40"/>
        <w:spacing w:after="0" w:line="247" w:lineRule="auto"/>
        <w:rPr>
          <w:sz w:val="20"/>
          <w:szCs w:val="20"/>
          <w:color w:val="auto"/>
        </w:rPr>
      </w:pPr>
      <w:r>
        <w:rPr>
          <w:rFonts w:ascii="Arial" w:cs="Arial" w:eastAsia="Arial" w:hAnsi="Arial"/>
          <w:sz w:val="18"/>
          <w:szCs w:val="18"/>
          <w:color w:val="auto"/>
        </w:rPr>
        <w:t>The preliminary purchase price allocation is subject to further refinement and may require adjustments to arrive at the final purchase price allocation. The above fair value of assets acquired and liabilities assumed are preliminary and are based on the information that was available as of the reporting date. The final determination of the fair value of certain assets and liabilities will be completed as soon as the necessary information, such as final working capital adjustments, becomes available but no later than one year from the acquisition date.</w:t>
      </w:r>
    </w:p>
    <w:p>
      <w:pPr>
        <w:spacing w:after="0" w:line="82" w:lineRule="exact"/>
        <w:rPr>
          <w:sz w:val="20"/>
          <w:szCs w:val="20"/>
          <w:color w:val="auto"/>
        </w:rPr>
      </w:pPr>
    </w:p>
    <w:p>
      <w:pPr>
        <w:ind w:left="980" w:right="120"/>
        <w:spacing w:after="0" w:line="271" w:lineRule="auto"/>
        <w:rPr>
          <w:sz w:val="20"/>
          <w:szCs w:val="20"/>
          <w:color w:val="auto"/>
        </w:rPr>
      </w:pPr>
      <w:r>
        <w:rPr>
          <w:rFonts w:ascii="Arial" w:cs="Arial" w:eastAsia="Arial" w:hAnsi="Arial"/>
          <w:sz w:val="18"/>
          <w:szCs w:val="18"/>
          <w:color w:val="auto"/>
        </w:rPr>
        <w:t>Refer to Note 2, Business Combinations, to the consolidated financial statements contained in our Annual Report on Form 10-K for the year ended December 31, 2024 for further discussion of the Transaction.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ACCOUNTS RECEIVABLE, NET</w:t>
      </w:r>
    </w:p>
    <w:p>
      <w:pPr>
        <w:spacing w:after="0" w:line="117" w:lineRule="exact"/>
        <w:rPr>
          <w:sz w:val="20"/>
          <w:szCs w:val="20"/>
          <w:color w:val="auto"/>
        </w:rPr>
      </w:pPr>
    </w:p>
    <w:p>
      <w:pPr>
        <w:ind w:left="980"/>
        <w:spacing w:after="0" w:line="257" w:lineRule="auto"/>
        <w:rPr>
          <w:sz w:val="20"/>
          <w:szCs w:val="20"/>
          <w:color w:val="auto"/>
        </w:rPr>
      </w:pPr>
      <w:r>
        <w:rPr>
          <w:rFonts w:ascii="Arial" w:cs="Arial" w:eastAsia="Arial" w:hAnsi="Arial"/>
          <w:sz w:val="18"/>
          <w:szCs w:val="18"/>
          <w:color w:val="auto"/>
        </w:rPr>
        <w:t>Accounts receivable, less allowance for doubtful accounts, reflects the net realizable value of receivables and approximates fair value. Unbilled revenue is recorded at estimated net realizable value. Assessing the collectability of the receivables (billed and unbilled) requires management judgment based on a combination of factors, including but not limited to, an evaluation of our historical incurred loss experience, credit-worthiness of our clients, age of the trade receivable balance, current economic conditions that may affect a client’s ability to pay, and reasonable and supportable forecasts. Receivables are charged-off against the allowance when the balance is deemed uncollectible.</w:t>
      </w:r>
    </w:p>
    <w:p>
      <w:pPr>
        <w:sectPr>
          <w:pgSz w:w="11900" w:h="16838" w:orient="portrait"/>
          <w:cols w:equalWidth="0" w:num="1">
            <w:col w:w="11240"/>
          </w:cols>
          <w:pgMar w:left="320" w:top="9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11" w:name="page12"/>
    <w:bookmarkEnd w:id="11"/>
    <w:p>
      <w:pPr>
        <w:ind w:left="980"/>
        <w:spacing w:after="0"/>
        <w:rPr>
          <w:sz w:val="20"/>
          <w:szCs w:val="20"/>
          <w:color w:val="auto"/>
        </w:rPr>
      </w:pPr>
      <w:r>
        <w:rPr>
          <w:rFonts w:ascii="Arial" w:cs="Arial" w:eastAsia="Arial" w:hAnsi="Arial"/>
          <w:sz w:val="18"/>
          <w:szCs w:val="18"/>
          <w:color w:val="auto"/>
        </w:rPr>
        <w:t>Accounts receivable, net, at September 30, 2025 and December 31, 2024 was as follows (in thousands):</w:t>
      </w:r>
    </w:p>
    <w:p>
      <w:pPr>
        <w:spacing w:after="0" w:line="38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460" w:type="dxa"/>
            <w:vAlign w:val="bottom"/>
          </w:tcPr>
          <w:p>
            <w:pPr>
              <w:jc w:val="right"/>
              <w:ind w:right="315"/>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58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2024</w:t>
            </w:r>
          </w:p>
        </w:tc>
      </w:tr>
      <w:tr>
        <w:trPr>
          <w:trHeight w:val="22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accounts receivable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471,792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416,211</w:t>
            </w:r>
          </w:p>
        </w:tc>
      </w:tr>
      <w:tr>
        <w:trPr>
          <w:trHeight w:val="230"/>
        </w:trPr>
        <w:tc>
          <w:tcPr>
            <w:tcW w:w="58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Unbilled revenue, at net realizable value</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300,936</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150,362</w:t>
            </w:r>
          </w:p>
        </w:tc>
      </w:tr>
      <w:tr>
        <w:trPr>
          <w:trHeight w:val="223"/>
        </w:trPr>
        <w:tc>
          <w:tcPr>
            <w:tcW w:w="58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accounts receivable</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772,728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566,573</w:t>
            </w:r>
          </w:p>
        </w:tc>
      </w:tr>
      <w:tr>
        <w:trPr>
          <w:trHeight w:val="230"/>
        </w:trPr>
        <w:tc>
          <w:tcPr>
            <w:tcW w:w="58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(53,174)</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(31,715)</w:t>
            </w:r>
          </w:p>
        </w:tc>
      </w:tr>
      <w:tr>
        <w:trPr>
          <w:trHeight w:val="248"/>
        </w:trPr>
        <w:tc>
          <w:tcPr>
            <w:tcW w:w="58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719,554</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534,858</w:t>
            </w:r>
          </w:p>
        </w:tc>
      </w:tr>
      <w:tr>
        <w:trPr>
          <w:trHeight w:val="20"/>
        </w:trPr>
        <w:tc>
          <w:tcPr>
            <w:tcW w:w="58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980" w:right="140"/>
        <w:spacing w:after="0" w:line="287" w:lineRule="auto"/>
        <w:rPr>
          <w:sz w:val="20"/>
          <w:szCs w:val="20"/>
          <w:color w:val="auto"/>
        </w:rPr>
      </w:pPr>
      <w:r>
        <w:rPr>
          <w:rFonts w:ascii="Arial" w:cs="Arial" w:eastAsia="Arial" w:hAnsi="Arial"/>
          <w:sz w:val="18"/>
          <w:szCs w:val="18"/>
          <w:color w:val="auto"/>
        </w:rPr>
        <w:t>Changes to the allowance for doubtful accounts for the nine months ended September 30, 2025 and year ended December 31, 2024 were as follows (in thousands):</w:t>
      </w:r>
    </w:p>
    <w:p>
      <w:pPr>
        <w:spacing w:after="0" w:line="83"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460" w:type="dxa"/>
            <w:vAlign w:val="bottom"/>
          </w:tcPr>
          <w:p>
            <w:pPr>
              <w:jc w:val="center"/>
              <w:ind w:right="17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58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2024</w:t>
            </w:r>
          </w:p>
        </w:tc>
      </w:tr>
      <w:tr>
        <w:trPr>
          <w:trHeight w:val="22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(31,715)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center"/>
              <w:ind w:left="656"/>
              <w:spacing w:after="0"/>
              <w:rPr>
                <w:sz w:val="20"/>
                <w:szCs w:val="20"/>
                <w:color w:val="auto"/>
              </w:rPr>
            </w:pPr>
            <w:r>
              <w:rPr>
                <w:rFonts w:ascii="Arial" w:cs="Arial" w:eastAsia="Arial" w:hAnsi="Arial"/>
                <w:sz w:val="18"/>
                <w:szCs w:val="18"/>
                <w:color w:val="auto"/>
              </w:rPr>
              <w:t>(25,598)</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Provision</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(27,086)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center"/>
              <w:ind w:left="656"/>
              <w:spacing w:after="0"/>
              <w:rPr>
                <w:sz w:val="20"/>
                <w:szCs w:val="20"/>
                <w:color w:val="auto"/>
              </w:rPr>
            </w:pPr>
            <w:r>
              <w:rPr>
                <w:rFonts w:ascii="Arial" w:cs="Arial" w:eastAsia="Arial" w:hAnsi="Arial"/>
                <w:sz w:val="18"/>
                <w:szCs w:val="18"/>
                <w:color w:val="auto"/>
              </w:rPr>
              <w:t>(19,979)</w:t>
            </w:r>
          </w:p>
        </w:tc>
      </w:tr>
      <w:tr>
        <w:trPr>
          <w:trHeight w:val="22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Charge-offs, net of recoveries</w:t>
            </w:r>
          </w:p>
        </w:tc>
        <w:tc>
          <w:tcPr>
            <w:tcW w:w="2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5,627</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center"/>
              <w:ind w:left="676"/>
              <w:spacing w:after="0"/>
              <w:rPr>
                <w:sz w:val="20"/>
                <w:szCs w:val="20"/>
                <w:color w:val="auto"/>
              </w:rPr>
            </w:pPr>
            <w:r>
              <w:rPr>
                <w:rFonts w:ascii="Arial" w:cs="Arial" w:eastAsia="Arial" w:hAnsi="Arial"/>
                <w:sz w:val="18"/>
                <w:szCs w:val="18"/>
                <w:color w:val="auto"/>
                <w:w w:val="98"/>
              </w:rPr>
              <w:t>13,862</w:t>
            </w: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(53,174)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center"/>
              <w:ind w:left="656"/>
              <w:spacing w:after="0"/>
              <w:rPr>
                <w:sz w:val="20"/>
                <w:szCs w:val="20"/>
                <w:color w:val="auto"/>
              </w:rPr>
            </w:pPr>
            <w:r>
              <w:rPr>
                <w:rFonts w:ascii="Arial" w:cs="Arial" w:eastAsia="Arial" w:hAnsi="Arial"/>
                <w:sz w:val="18"/>
                <w:szCs w:val="18"/>
                <w:color w:val="auto"/>
              </w:rPr>
              <w:t>(31,715)</w:t>
            </w:r>
          </w:p>
        </w:tc>
      </w:tr>
      <w:tr>
        <w:trPr>
          <w:trHeight w:val="20"/>
        </w:trPr>
        <w:tc>
          <w:tcPr>
            <w:tcW w:w="5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 AND FINANCING ARRANGEMENTS</w:t>
      </w:r>
    </w:p>
    <w:p>
      <w:pPr>
        <w:spacing w:after="0" w:line="225" w:lineRule="exact"/>
        <w:rPr>
          <w:sz w:val="20"/>
          <w:szCs w:val="20"/>
          <w:color w:val="auto"/>
        </w:rPr>
      </w:pPr>
    </w:p>
    <w:p>
      <w:pPr>
        <w:ind w:left="980"/>
        <w:spacing w:after="0" w:line="254" w:lineRule="auto"/>
        <w:rPr>
          <w:sz w:val="20"/>
          <w:szCs w:val="20"/>
          <w:color w:val="auto"/>
        </w:rPr>
      </w:pPr>
      <w:r>
        <w:rPr>
          <w:rFonts w:ascii="Arial" w:cs="Arial" w:eastAsia="Arial" w:hAnsi="Arial"/>
          <w:sz w:val="18"/>
          <w:szCs w:val="18"/>
          <w:b w:val="1"/>
          <w:bCs w:val="1"/>
          <w:color w:val="auto"/>
        </w:rPr>
        <w:t xml:space="preserve">2024 Credit Facilities </w:t>
      </w:r>
      <w:r>
        <w:rPr>
          <w:rFonts w:ascii="Arial" w:cs="Arial" w:eastAsia="Arial" w:hAnsi="Arial"/>
          <w:sz w:val="18"/>
          <w:szCs w:val="18"/>
          <w:color w:val="auto"/>
        </w:rPr>
        <w:t>- Our primary debt financing arrangement is the Amended and Restated Credit Agreement, 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1, 2024, as amended by the First Amendment, dated as of March 7, 2025, by and among the Company, CBIZ, Inc. as the borrower, the lenders party thereto from time to time and Bank of America, N.A., as the agent, which provides $2.0 billion in senior secured credit facilities, consisting of term loans with an original principal amount of $1.4 billion (the “Term Loan”) and a $600.0 million revolving credit facility (the “Revolving Credit Facility” and, together with the Term Loan, as may be further amended, restated, supplemented or otherwise modified from time to time, the "2024 Credit Facilities"). On April 29, 2025, the Company entered into a Second Amendment (the "Debt Amendment") to the 2024 Credit Facilities. The Debt Amendment added a usual and customary "Available Amount" basket available for making of certain investments and/or restricted payments (including share repurchases) from time to time subject to the satisfaction of certain terms and conditions set forth therein and made certain other technical changes. The changes resulting from the Debt Amendment were accounted for as a modification under ASC 470, Debt ("ASC 470") with an immaterial impact to the financial statements.</w:t>
      </w:r>
    </w:p>
    <w:p>
      <w:pPr>
        <w:spacing w:after="0" w:line="74" w:lineRule="exact"/>
        <w:rPr>
          <w:sz w:val="20"/>
          <w:szCs w:val="20"/>
          <w:color w:val="auto"/>
        </w:rPr>
      </w:pPr>
    </w:p>
    <w:p>
      <w:pPr>
        <w:jc w:val="both"/>
        <w:ind w:left="980" w:right="240"/>
        <w:spacing w:after="0" w:line="268" w:lineRule="auto"/>
        <w:rPr>
          <w:sz w:val="20"/>
          <w:szCs w:val="20"/>
          <w:color w:val="auto"/>
        </w:rPr>
      </w:pPr>
      <w:r>
        <w:rPr>
          <w:rFonts w:ascii="Arial" w:cs="Arial" w:eastAsia="Arial" w:hAnsi="Arial"/>
          <w:sz w:val="18"/>
          <w:szCs w:val="18"/>
          <w:color w:val="auto"/>
        </w:rPr>
        <w:t>The 2024 Credit Facilities mature on November 1, 2029. The Term Loan provides for scheduled annual principal amortization payments of 5% in the first two years following closing, 7.5% annually in the third and fourth year following closing and 10% in the fifth year following closing, with the balance due at maturity.</w:t>
      </w:r>
    </w:p>
    <w:p>
      <w:pPr>
        <w:spacing w:after="0" w:line="63" w:lineRule="exact"/>
        <w:rPr>
          <w:sz w:val="20"/>
          <w:szCs w:val="20"/>
          <w:color w:val="auto"/>
        </w:rPr>
      </w:pPr>
    </w:p>
    <w:p>
      <w:pPr>
        <w:ind w:left="980" w:right="100"/>
        <w:spacing w:after="0" w:line="256" w:lineRule="auto"/>
        <w:rPr>
          <w:sz w:val="20"/>
          <w:szCs w:val="20"/>
          <w:color w:val="auto"/>
        </w:rPr>
      </w:pPr>
      <w:r>
        <w:rPr>
          <w:rFonts w:ascii="Arial" w:cs="Arial" w:eastAsia="Arial" w:hAnsi="Arial"/>
          <w:sz w:val="18"/>
          <w:szCs w:val="18"/>
          <w:color w:val="auto"/>
        </w:rPr>
        <w:t>The 2024 Credit Facilities contain certain restrictive covenants customary for facilities of this type, including restrictions on indebtedness, liens or other encumbrances, making certain payments, investments, or to sell or otherwise dispose of a substantial portion of assets, or to merge or consolidate with an unaffiliated entity. The 2024 Credit Facilities also limit our ability to make dividend payments. Historically, we have not paid cash dividends on our common stock. Our Board of Directors has discretion over the payment and level of dividends on our common stock, subject to the limitations of the 2024 Credit Facilities and applicable law. The 2024 Credit Facilities contain a provision that, in the event of a defined change in control, the 2024 Credit Facilities may be terminated.</w:t>
      </w:r>
    </w:p>
    <w:p>
      <w:pPr>
        <w:spacing w:after="0" w:line="183"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In addition, the 2024 Credit Facilities include a financial covenant requiring that Total Net Leverage Ratio not exceed 5.00 to 1.00 initially, stepping down in increments to 3.75 to 1.00 during and after the seventh fiscal quarter after the closing (with a limited ability to temporarily increase in connection with material acquisitions commencing in the sixth fiscal quarter after the closing). The 2024 Credit Facilities also require a Minimum Consolidated Interest Coverage Ratio of 3.00 to 1.00 and affirmative and negative covenants that are in each case generally similar to those contained in our previous amended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2" w:name="page13"/>
    <w:bookmarkEnd w:id="12"/>
    <w:p>
      <w:pPr>
        <w:ind w:right="1160"/>
        <w:spacing w:after="0" w:line="287" w:lineRule="auto"/>
        <w:rPr>
          <w:sz w:val="20"/>
          <w:szCs w:val="20"/>
          <w:color w:val="auto"/>
        </w:rPr>
      </w:pPr>
      <w:r>
        <w:rPr>
          <w:rFonts w:ascii="Arial" w:cs="Arial" w:eastAsia="Arial" w:hAnsi="Arial"/>
          <w:sz w:val="18"/>
          <w:szCs w:val="18"/>
          <w:color w:val="auto"/>
        </w:rPr>
        <w:t>and restated 2022 credit facility, but with increases to certain baskets and caps and certain other exceptions. As of September 30, 2025, we were in compliance with all covenants under the 2024 Credit Facilities.</w:t>
      </w:r>
    </w:p>
    <w:p>
      <w:pPr>
        <w:spacing w:after="0" w:line="15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balance outstanding under the 2024 Credit Facilities at September 30, 2025 and December 31, 2024 was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2025</w:t>
            </w:r>
          </w:p>
        </w:tc>
        <w:tc>
          <w:tcPr>
            <w:tcW w:w="160" w:type="dxa"/>
            <w:vAlign w:val="bottom"/>
          </w:tcPr>
          <w:p>
            <w:pPr>
              <w:spacing w:after="0"/>
              <w:rPr>
                <w:sz w:val="17"/>
                <w:szCs w:val="17"/>
                <w:color w:val="auto"/>
              </w:rPr>
            </w:pPr>
          </w:p>
        </w:tc>
        <w:tc>
          <w:tcPr>
            <w:tcW w:w="1560" w:type="dxa"/>
            <w:vAlign w:val="bottom"/>
          </w:tcPr>
          <w:p>
            <w:pPr>
              <w:jc w:val="right"/>
              <w:ind w:right="132"/>
              <w:spacing w:after="0"/>
              <w:rPr>
                <w:sz w:val="20"/>
                <w:szCs w:val="20"/>
                <w:color w:val="auto"/>
              </w:rPr>
            </w:pPr>
            <w:r>
              <w:rPr>
                <w:rFonts w:ascii="Arial" w:cs="Arial" w:eastAsia="Arial" w:hAnsi="Arial"/>
                <w:sz w:val="14"/>
                <w:szCs w:val="14"/>
                <w:b w:val="1"/>
                <w:bCs w:val="1"/>
                <w:color w:val="auto"/>
              </w:rPr>
              <w:t>December 31, 2024</w:t>
            </w:r>
          </w:p>
        </w:tc>
      </w:tr>
      <w:tr>
        <w:trPr>
          <w:trHeight w:val="211"/>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Short-term debt</w:t>
            </w: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Current portion, Term Loan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70,000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70,000</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debt issuance costs, Term Loan</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Total short-term debt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66,323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66,177</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5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Revolver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20,900</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Debt issuance costs, Revolver</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(7,160)</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portion, Term Loan</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1,330,000</w:t>
            </w:r>
          </w:p>
        </w:tc>
      </w:tr>
      <w:tr>
        <w:trPr>
          <w:trHeight w:val="22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portion Debt Issuance Costs, Term Loan</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(9,985)</w:t>
            </w: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long-term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1,502,639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1,333,755</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40"/>
        <w:spacing w:after="0" w:line="318" w:lineRule="auto"/>
        <w:rPr>
          <w:sz w:val="20"/>
          <w:szCs w:val="20"/>
          <w:color w:val="auto"/>
        </w:rPr>
      </w:pPr>
      <w:r>
        <w:rPr>
          <w:rFonts w:ascii="Arial" w:cs="Arial" w:eastAsia="Arial" w:hAnsi="Arial"/>
          <w:sz w:val="17"/>
          <w:szCs w:val="17"/>
          <w:color w:val="auto"/>
        </w:rPr>
        <w:t>The blended effective interest rates under the 2024 Credit Facilities and the 2022 credit facility, including the impact of interest rate swaps associated with those credit facilities, for the nine months ended September 30, 2025 and 2024 were as follows:</w:t>
      </w:r>
    </w:p>
    <w:p>
      <w:pPr>
        <w:spacing w:after="0" w:line="45"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Nine Months Ended</w:t>
      </w:r>
    </w:p>
    <w:p>
      <w:pPr>
        <w:spacing w:after="0" w:line="2"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60" w:type="dxa"/>
            <w:vAlign w:val="bottom"/>
            <w:tcBorders>
              <w:bottom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rates</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5.40%</w:t>
            </w:r>
          </w:p>
        </w:tc>
      </w:tr>
      <w:tr>
        <w:trPr>
          <w:trHeight w:val="239"/>
        </w:trPr>
        <w:tc>
          <w:tcPr>
            <w:tcW w:w="5860" w:type="dxa"/>
            <w:vAlign w:val="bottom"/>
          </w:tcPr>
          <w:p>
            <w:pPr>
              <w:ind w:left="20"/>
              <w:spacing w:after="0"/>
              <w:rPr>
                <w:sz w:val="20"/>
                <w:szCs w:val="20"/>
                <w:color w:val="auto"/>
              </w:rPr>
            </w:pPr>
            <w:r>
              <w:rPr>
                <w:rFonts w:ascii="Arial" w:cs="Arial" w:eastAsia="Arial" w:hAnsi="Arial"/>
                <w:sz w:val="18"/>
                <w:szCs w:val="18"/>
                <w:color w:val="auto"/>
              </w:rPr>
              <w:t>Range of effective rates</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3.18% - 8.75%</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1.93% - 6.83%</w:t>
            </w:r>
          </w:p>
        </w:tc>
      </w:tr>
    </w:tbl>
    <w:p>
      <w:pPr>
        <w:spacing w:after="0" w:line="28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had approximately $316.0 million of available funds under the 2024 Credit Facilities at September 30, 2025, based on the terms of the commitment. Available funds under the 2024 Credit Facilities are based on a multiple of earnings before interest, taxes, depreciation and amortization as defined in the 2024 Credit Facilities, and are reduced by letters of credit, other indebtedness and outstanding borrowings under the 2024 Credit Facilities. Under the 2024 Credit Facilities, loans are charged an interest rate consisting of a base rate or term SOFR rate plus an applicable margin, letters of credit are charged based on the same applicable margin, and a commitment fee is charged on the unused portion of the 2024 Credit Facilities.</w:t>
      </w:r>
    </w:p>
    <w:p>
      <w:pPr>
        <w:spacing w:after="0" w:line="74"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Refer to Note 10, Debt and Financing Arrangements, to the consolidated financial statements contained in our Annual Report on Form 10-K for the year ended December 31, 2024 for further discussion on the 2024 Credit Facilities and the 2022 credit facility.</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 xml:space="preserve">Other Line of Credit </w:t>
      </w:r>
      <w:r>
        <w:rPr>
          <w:rFonts w:ascii="Arial" w:cs="Arial" w:eastAsia="Arial" w:hAnsi="Arial"/>
          <w:sz w:val="18"/>
          <w:szCs w:val="18"/>
          <w:color w:val="auto"/>
        </w:rPr>
        <w:t>- We have an unsecured $20.0 million line of credit by and among CBIZ Benefits and Insurance, Inc. and</w:t>
      </w:r>
      <w:r>
        <w:rPr>
          <w:rFonts w:ascii="Arial" w:cs="Arial" w:eastAsia="Arial" w:hAnsi="Arial"/>
          <w:sz w:val="18"/>
          <w:szCs w:val="18"/>
          <w:b w:val="1"/>
          <w:bCs w:val="1"/>
          <w:color w:val="auto"/>
        </w:rPr>
        <w:t xml:space="preserve"> </w:t>
      </w:r>
      <w:r>
        <w:rPr>
          <w:rFonts w:ascii="Arial" w:cs="Arial" w:eastAsia="Arial" w:hAnsi="Arial"/>
          <w:sz w:val="18"/>
          <w:szCs w:val="18"/>
          <w:color w:val="auto"/>
        </w:rPr>
        <w:t>Huntington National Bank ("line of credit"). We utilize this line of credit to support our short-term funding requirements of payroll client fund obligations due to the investment of client funds, rather than liquidating client funds that have already been invested in available-for-sale securities. The line of credit did not have a balance outstanding at September 30, 2025 or December 31, 2024. The line of credit was renewed in July 2025 and will now terminate on July 30, 2026.</w:t>
      </w:r>
    </w:p>
    <w:p>
      <w:pPr>
        <w:spacing w:after="0" w:line="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 Interest expense, including amortization of deferred financing costs, commitment fees, line of credit fees,</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applicable bank charges, for the three and nine months ended September 30, 2025 and 2024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1300" w:top="1106" w:right="359" w:bottom="1440" w:gutter="0" w:footer="0" w:header="0"/>
        </w:sectPr>
      </w:pPr>
    </w:p>
    <w:bookmarkStart w:id="13" w:name="page14"/>
    <w:bookmarkEnd w:id="13"/>
    <w:tbl>
      <w:tblPr>
        <w:tblLayout w:type="fixed"/>
        <w:tblInd w:w="980" w:type="dxa"/>
        <w:tblCellMar>
          <w:top w:w="0" w:type="dxa"/>
          <w:left w:w="0" w:type="dxa"/>
          <w:bottom w:w="0" w:type="dxa"/>
          <w:right w:w="0" w:type="dxa"/>
        </w:tblCellMar>
      </w:tblPr>
      <w:tr>
        <w:trPr>
          <w:trHeight w:val="197"/>
        </w:trPr>
        <w:tc>
          <w:tcPr>
            <w:tcW w:w="2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296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27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r>
      <w:tr>
        <w:trPr>
          <w:trHeight w:val="224"/>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15,360</w:t>
            </w: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15,363</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17" w:lineRule="exact"/>
        <w:rPr>
          <w:sz w:val="20"/>
          <w:szCs w:val="20"/>
          <w:color w:val="auto"/>
        </w:rPr>
      </w:pPr>
    </w:p>
    <w:p>
      <w:pPr>
        <w:ind w:left="980" w:right="280"/>
        <w:spacing w:after="0" w:line="262" w:lineRule="auto"/>
        <w:rPr>
          <w:sz w:val="20"/>
          <w:szCs w:val="20"/>
          <w:color w:val="auto"/>
        </w:rPr>
      </w:pPr>
      <w:r>
        <w:rPr>
          <w:rFonts w:ascii="Arial" w:cs="Arial" w:eastAsia="Arial" w:hAnsi="Arial"/>
          <w:sz w:val="18"/>
          <w:szCs w:val="18"/>
          <w:b w:val="1"/>
          <w:bCs w:val="1"/>
          <w:color w:val="auto"/>
        </w:rPr>
        <w:t xml:space="preserve">Letters of Credit and Guarantees </w:t>
      </w:r>
      <w:r>
        <w:rPr>
          <w:rFonts w:ascii="Arial" w:cs="Arial" w:eastAsia="Arial" w:hAnsi="Arial"/>
          <w:sz w:val="18"/>
          <w:szCs w:val="18"/>
          <w:color w:val="auto"/>
        </w:rPr>
        <w:t>- We provide letters of credit to landlords (lessors) of our leased premises in lieu of cash</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deposits, which totaled $3.2 million and $3.2 million at September 30, 2025 and December 31, 2024, respectively. In addition, we provide license bonds to various state agencies to meet certain licensing requirements. The amount of license bonds outstanding was $2.2 million and $2.2 million at September 30, 2025 and December 31, 2024, respectively.</w:t>
      </w:r>
    </w:p>
    <w:p>
      <w:pPr>
        <w:spacing w:after="0" w:line="68" w:lineRule="exact"/>
        <w:rPr>
          <w:sz w:val="20"/>
          <w:szCs w:val="20"/>
          <w:color w:val="auto"/>
        </w:rPr>
      </w:pPr>
    </w:p>
    <w:p>
      <w:pPr>
        <w:ind w:left="980" w:right="100"/>
        <w:spacing w:after="0" w:line="255" w:lineRule="auto"/>
        <w:rPr>
          <w:sz w:val="20"/>
          <w:szCs w:val="20"/>
          <w:color w:val="auto"/>
        </w:rPr>
      </w:pPr>
      <w:r>
        <w:rPr>
          <w:rFonts w:ascii="Arial" w:cs="Arial" w:eastAsia="Arial" w:hAnsi="Arial"/>
          <w:sz w:val="18"/>
          <w:szCs w:val="18"/>
          <w:b w:val="1"/>
          <w:bCs w:val="1"/>
          <w:color w:val="auto"/>
        </w:rPr>
        <w:t xml:space="preserve">Legal Proceedings </w:t>
      </w:r>
      <w:r>
        <w:rPr>
          <w:rFonts w:ascii="Arial" w:cs="Arial" w:eastAsia="Arial" w:hAnsi="Arial"/>
          <w:sz w:val="18"/>
          <w:szCs w:val="18"/>
          <w:color w:val="auto"/>
        </w:rPr>
        <w:t>- On November 10, 2023, CBIZ was named as a defendant in a putative class action lawsuit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District Court for the District of Massachusetts by an individual claiming to be an employee of a CBIZ client whose personally identifiable information (“PII”) was compromised and stolen during a cyberattack CBIZ experienced on or about May 31, 2023. As a result of this incident, hackers were able to access and download certain files from CBIZ’s MOVEit Transfer server. The lawsuit alleges that CBIZ and Progress Software Corporation, the owner of MOVEit Transfer, failed to adequately secure and safeguard the individual’s, and similarly situated employees of CBIZ’s clients, PII from unauthorized access. The lawsuit seeks various remedies, including actual, compensatory, and punitive damages, along with injunctive relief, costs, and attorneys’ fees.</w:t>
      </w:r>
    </w:p>
    <w:p>
      <w:pPr>
        <w:spacing w:after="0" w:line="77" w:lineRule="exact"/>
        <w:rPr>
          <w:sz w:val="20"/>
          <w:szCs w:val="20"/>
          <w:color w:val="auto"/>
        </w:rPr>
      </w:pPr>
    </w:p>
    <w:p>
      <w:pPr>
        <w:ind w:left="980"/>
        <w:spacing w:after="0" w:line="255" w:lineRule="auto"/>
        <w:rPr>
          <w:sz w:val="20"/>
          <w:szCs w:val="20"/>
          <w:color w:val="auto"/>
        </w:rPr>
      </w:pPr>
      <w:r>
        <w:rPr>
          <w:rFonts w:ascii="Arial" w:cs="Arial" w:eastAsia="Arial" w:hAnsi="Arial"/>
          <w:sz w:val="18"/>
          <w:szCs w:val="18"/>
          <w:color w:val="auto"/>
        </w:rPr>
        <w:t>On December 8, 2023, CBIZ was named as a defendant in a second putative class action lawsuit in the United States District Court for the District of Massachusetts by an individual making similar claims and seeking similar remedies as in the first lawsuit regarding the cyberattack CBIZ experienced on or about May 31, 2023. Both cases were transferred into a multidistrict litigation, styled as In Re: MOVEit Customer Data Security Breach Litigation, pending in the United States District Court for the District of Massachusetts (the “MDL”). To date, the MDL has over 180 cases against over 100 different defendants, all with claims arising out of the cyberbreach by hackers of Progress Software Corporation’s MOVEit Transfer software. The cases in the MDL, including the cases against CBIZ, are in their earliest stages, with a stay in place until the MDL Court issues a scheduling order. Due to the early stage of litigation, the Company is not able to determine or predict the ultimate outcome of these lawsuits nor reasonably provide an estimate or range of the possible outcome or losses, if any.</w:t>
      </w:r>
    </w:p>
    <w:p>
      <w:pPr>
        <w:spacing w:after="0" w:line="59" w:lineRule="exact"/>
        <w:rPr>
          <w:sz w:val="20"/>
          <w:szCs w:val="20"/>
          <w:color w:val="auto"/>
        </w:rPr>
      </w:pPr>
    </w:p>
    <w:p>
      <w:pPr>
        <w:ind w:left="980" w:right="80"/>
        <w:spacing w:after="0" w:line="275" w:lineRule="auto"/>
        <w:rPr>
          <w:sz w:val="20"/>
          <w:szCs w:val="20"/>
          <w:color w:val="auto"/>
        </w:rPr>
      </w:pPr>
      <w:r>
        <w:rPr>
          <w:rFonts w:ascii="Arial" w:cs="Arial" w:eastAsia="Arial" w:hAnsi="Arial"/>
          <w:sz w:val="17"/>
          <w:szCs w:val="17"/>
          <w:color w:val="auto"/>
        </w:rPr>
        <w:t>In June of 2025, the Company settled litigation against a small group of former employees. As part of the settlement of that litigation, the Company received a settlement payment of $12.5 million, which was recorded as a pre-tax gain in “Other income, net” on the Condensed Consolidated Statements of Comprehensive Income for the nine months ended September 30, 2025.</w:t>
      </w:r>
    </w:p>
    <w:p>
      <w:pPr>
        <w:spacing w:after="0" w:line="44" w:lineRule="exact"/>
        <w:rPr>
          <w:sz w:val="20"/>
          <w:szCs w:val="20"/>
          <w:color w:val="auto"/>
        </w:rPr>
      </w:pPr>
    </w:p>
    <w:p>
      <w:pPr>
        <w:ind w:left="980"/>
        <w:spacing w:after="0" w:line="262" w:lineRule="auto"/>
        <w:rPr>
          <w:sz w:val="20"/>
          <w:szCs w:val="20"/>
          <w:color w:val="auto"/>
        </w:rPr>
      </w:pPr>
      <w:r>
        <w:rPr>
          <w:rFonts w:ascii="Arial" w:cs="Arial" w:eastAsia="Arial" w:hAnsi="Arial"/>
          <w:sz w:val="18"/>
          <w:szCs w:val="18"/>
          <w:color w:val="auto"/>
        </w:rPr>
        <w:t>In addition to the items disclosed above, the Company is, from time to time, subject to claims and lawsuits arising in the ordinary course of business. We cannot predict the outcome of all such matters or estimate the possible loss, if any. Although the proceedings are subject to uncertainties in the litigation process and the ultimate disposition of these proceedings is not presently determinable, we intend to vigorously defend these matters.</w:t>
      </w:r>
    </w:p>
    <w:p>
      <w:pPr>
        <w:spacing w:after="0" w:line="68" w:lineRule="exact"/>
        <w:rPr>
          <w:sz w:val="20"/>
          <w:szCs w:val="20"/>
          <w:color w:val="auto"/>
        </w:rPr>
      </w:pPr>
    </w:p>
    <w:p>
      <w:pPr>
        <w:ind w:left="980" w:right="80"/>
        <w:spacing w:after="0" w:line="318" w:lineRule="auto"/>
        <w:rPr>
          <w:sz w:val="20"/>
          <w:szCs w:val="20"/>
          <w:color w:val="auto"/>
        </w:rPr>
      </w:pPr>
      <w:r>
        <w:rPr>
          <w:rFonts w:ascii="Arial" w:cs="Arial" w:eastAsia="Arial" w:hAnsi="Arial"/>
          <w:sz w:val="17"/>
          <w:szCs w:val="17"/>
          <w:color w:val="auto"/>
        </w:rPr>
        <w:t>Refer to Note 12, Commitments and Contingencies, to the consolidated financial statements contained in our Annual Report on Form 10-K for the year ended December 31, 2024 for further discussion on the Company's commitments and contingencies.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FINANCIAL INSTRUMENTS</w:t>
      </w:r>
    </w:p>
    <w:p>
      <w:pPr>
        <w:spacing w:after="0" w:line="117" w:lineRule="exact"/>
        <w:rPr>
          <w:sz w:val="20"/>
          <w:szCs w:val="20"/>
          <w:color w:val="auto"/>
        </w:rPr>
      </w:pPr>
    </w:p>
    <w:p>
      <w:pPr>
        <w:ind w:left="980" w:right="200"/>
        <w:spacing w:after="0" w:line="259" w:lineRule="auto"/>
        <w:rPr>
          <w:sz w:val="20"/>
          <w:szCs w:val="20"/>
          <w:color w:val="auto"/>
        </w:rPr>
      </w:pPr>
      <w:r>
        <w:rPr>
          <w:rFonts w:ascii="Arial" w:cs="Arial" w:eastAsia="Arial" w:hAnsi="Arial"/>
          <w:sz w:val="18"/>
          <w:szCs w:val="18"/>
          <w:b w:val="1"/>
          <w:bCs w:val="1"/>
          <w:color w:val="auto"/>
        </w:rPr>
        <w:t xml:space="preserve">Available-For-Sale Debt Securities </w:t>
      </w:r>
      <w:r>
        <w:rPr>
          <w:rFonts w:ascii="Arial" w:cs="Arial" w:eastAsia="Arial" w:hAnsi="Arial"/>
          <w:sz w:val="18"/>
          <w:szCs w:val="18"/>
          <w:color w:val="auto"/>
        </w:rPr>
        <w:t>- In connection with certain services provided by our payroll operations, we collect funds</w:t>
      </w:r>
      <w:r>
        <w:rPr>
          <w:rFonts w:ascii="Arial" w:cs="Arial" w:eastAsia="Arial" w:hAnsi="Arial"/>
          <w:sz w:val="18"/>
          <w:szCs w:val="18"/>
          <w:b w:val="1"/>
          <w:bCs w:val="1"/>
          <w:color w:val="auto"/>
        </w:rPr>
        <w:t xml:space="preserve"> </w:t>
      </w:r>
      <w:r>
        <w:rPr>
          <w:rFonts w:ascii="Arial" w:cs="Arial" w:eastAsia="Arial" w:hAnsi="Arial"/>
          <w:sz w:val="18"/>
          <w:szCs w:val="18"/>
          <w:color w:val="auto"/>
        </w:rPr>
        <w:t>from our clients’ accounts in advance of paying client obligations. These funds held for clients are segregated and invested in accordance with our investment policy, which requires all investments carry an investment grade rating at the time of initial investment. These investments, primarily consisting of corporate and municipal bonds, are classified as available-for-sale and are included in the “Funds held for clients” line item on the accompanying unaudited Condensed</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48" w:right="419" w:bottom="1440" w:gutter="0" w:footer="0" w:header="0"/>
        </w:sectPr>
      </w:pPr>
    </w:p>
    <w:bookmarkStart w:id="14" w:name="page15"/>
    <w:bookmarkEnd w:id="14"/>
    <w:p>
      <w:pPr>
        <w:jc w:val="both"/>
        <w:spacing w:after="0" w:line="268" w:lineRule="auto"/>
        <w:rPr>
          <w:sz w:val="20"/>
          <w:szCs w:val="20"/>
          <w:color w:val="auto"/>
        </w:rPr>
      </w:pPr>
      <w:r>
        <w:rPr>
          <w:rFonts w:ascii="Arial" w:cs="Arial" w:eastAsia="Arial" w:hAnsi="Arial"/>
          <w:sz w:val="18"/>
          <w:szCs w:val="18"/>
          <w:color w:val="auto"/>
        </w:rPr>
        <w:t>Consolidated Balance Sheets. The par value of these investments totaled $ 45.3 million and $41.3 million at September 30, 2025 and December 31, 2024, respectively, and these investments have maturity or callable dates ranging from October 2025 through February 2030.</w:t>
      </w:r>
    </w:p>
    <w:p>
      <w:pPr>
        <w:spacing w:after="0" w:line="6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At September 30, 2025, unrealized losses on the securities were not material and have not been recognized as a credit loss because the bonds are investment grade quality and management is not required or does not intend to sell prior to an expected recovery in value. The bond issuers continue to make timely principal and interest payments.</w:t>
      </w:r>
    </w:p>
    <w:p>
      <w:pPr>
        <w:spacing w:after="0" w:line="6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following table summarizes activities related to these investments for the nine months ended September 30, 2025 and the year ended December 31, 2024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 Ended</w:t>
            </w:r>
          </w:p>
        </w:tc>
        <w:tc>
          <w:tcPr>
            <w:tcW w:w="17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Year Ended December</w:t>
            </w:r>
          </w:p>
        </w:tc>
      </w:tr>
      <w:tr>
        <w:trPr>
          <w:trHeight w:val="189"/>
        </w:trPr>
        <w:tc>
          <w:tcPr>
            <w:tcW w:w="5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2025</w:t>
            </w:r>
          </w:p>
        </w:tc>
        <w:tc>
          <w:tcPr>
            <w:tcW w:w="360" w:type="dxa"/>
            <w:vAlign w:val="bottom"/>
          </w:tcPr>
          <w:p>
            <w:pPr>
              <w:spacing w:after="0"/>
              <w:rPr>
                <w:sz w:val="16"/>
                <w:szCs w:val="16"/>
                <w:color w:val="auto"/>
              </w:rPr>
            </w:pPr>
          </w:p>
        </w:tc>
        <w:tc>
          <w:tcPr>
            <w:tcW w:w="1360" w:type="dxa"/>
            <w:vAlign w:val="bottom"/>
          </w:tcPr>
          <w:p>
            <w:pPr>
              <w:jc w:val="right"/>
              <w:ind w:right="492"/>
              <w:spacing w:after="0"/>
              <w:rPr>
                <w:sz w:val="20"/>
                <w:szCs w:val="20"/>
                <w:color w:val="auto"/>
              </w:rPr>
            </w:pPr>
            <w:r>
              <w:rPr>
                <w:rFonts w:ascii="Arial" w:cs="Arial" w:eastAsia="Arial" w:hAnsi="Arial"/>
                <w:sz w:val="14"/>
                <w:szCs w:val="14"/>
                <w:b w:val="1"/>
                <w:bCs w:val="1"/>
                <w:color w:val="auto"/>
              </w:rPr>
              <w:t>31, 2024</w:t>
            </w:r>
          </w:p>
        </w:tc>
      </w:tr>
      <w:tr>
        <w:trPr>
          <w:trHeight w:val="223"/>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39,459</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35,600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23,210</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Redemptions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Maturities</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(28,120)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(21,423)</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bond premium</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29"/>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market value adjustment</w:t>
            </w: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r>
      <w:tr>
        <w:trPr>
          <w:trHeight w:val="248"/>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40,999</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In addition to the available-for-sale debt securities discussed above, we also held other depository assets in the amount of $0.2 million and $0.2 million at September 30, 2025 and December 31, 2024, respectively. Those depository assets are classified as Level 1 in the fair value hierarchy.</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 xml:space="preserve">Interest Rate Swaps </w:t>
      </w:r>
      <w:r>
        <w:rPr>
          <w:rFonts w:ascii="Arial" w:cs="Arial" w:eastAsia="Arial" w:hAnsi="Arial"/>
          <w:sz w:val="18"/>
          <w:szCs w:val="18"/>
          <w:color w:val="auto"/>
        </w:rPr>
        <w:t>- We utilize interest rate swaps to manage interest rate risk exposure associated with our floating-rate debt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2024 Credit Facilities, or the forecasted acquisition of such liability. We do not purchase or hold any derivative instruments for trading or speculative purposes. Refer to Note 7, Financial Instruments, to the consolidated financial statements contained in our Annual Report on Form 10-K for the year ended December 31, 2024 for further discussion on our interest rate swaps.</w:t>
      </w:r>
    </w:p>
    <w:p>
      <w:pPr>
        <w:spacing w:after="0" w:line="71"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auto"/>
        </w:rPr>
        <w:t>The following table summarizes our outstanding interest rate swaps and their classification in the accompanying unaudited Condensed Consolidated Balance Sheets at September 30, 2025 and December 31, 2024 (amounts in thousands, except percentages):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September 30, 2025</w:t>
            </w:r>
          </w:p>
        </w:tc>
        <w:tc>
          <w:tcPr>
            <w:tcW w:w="2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Notional</w:t>
            </w:r>
          </w:p>
        </w:tc>
        <w:tc>
          <w:tcPr>
            <w:tcW w:w="12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Fixed Rate</w:t>
            </w: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Expiration</w:t>
            </w:r>
          </w:p>
        </w:tc>
        <w:tc>
          <w:tcPr>
            <w:tcW w:w="220" w:type="dxa"/>
            <w:vAlign w:val="bottom"/>
          </w:tcPr>
          <w:p>
            <w:pPr>
              <w:spacing w:after="0"/>
              <w:rPr>
                <w:sz w:val="12"/>
                <w:szCs w:val="12"/>
                <w:color w:val="auto"/>
              </w:rPr>
            </w:pPr>
          </w:p>
        </w:tc>
        <w:tc>
          <w:tcPr>
            <w:tcW w:w="9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Fair</w:t>
            </w:r>
          </w:p>
        </w:tc>
        <w:tc>
          <w:tcPr>
            <w:tcW w:w="23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Balance Sheet Location</w:t>
            </w:r>
          </w:p>
        </w:tc>
        <w:tc>
          <w:tcPr>
            <w:tcW w:w="0" w:type="dxa"/>
            <w:vAlign w:val="bottom"/>
          </w:tcPr>
          <w:p>
            <w:pPr>
              <w:spacing w:after="0"/>
              <w:rPr>
                <w:sz w:val="1"/>
                <w:szCs w:val="1"/>
                <w:color w:val="auto"/>
              </w:rPr>
            </w:pPr>
          </w:p>
        </w:tc>
      </w:tr>
      <w:tr>
        <w:trPr>
          <w:trHeight w:val="185"/>
        </w:trPr>
        <w:tc>
          <w:tcPr>
            <w:tcW w:w="2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2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2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34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23"/>
                <w:szCs w:val="23"/>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4.047 %</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7/14/2026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center"/>
              <w:ind w:left="213"/>
              <w:spacing w:after="0"/>
              <w:rPr>
                <w:sz w:val="20"/>
                <w:szCs w:val="20"/>
                <w:color w:val="auto"/>
              </w:rPr>
            </w:pPr>
            <w:r>
              <w:rPr>
                <w:rFonts w:ascii="Arial" w:cs="Arial" w:eastAsia="Arial" w:hAnsi="Arial"/>
                <w:sz w:val="18"/>
                <w:szCs w:val="18"/>
                <w:color w:val="auto"/>
                <w:w w:val="99"/>
              </w:rPr>
              <w:t>(294)</w:t>
            </w: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liability</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1.186 %</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12/14/2026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center"/>
              <w:ind w:left="253"/>
              <w:spacing w:after="0"/>
              <w:rPr>
                <w:sz w:val="20"/>
                <w:szCs w:val="20"/>
                <w:color w:val="auto"/>
              </w:rPr>
            </w:pPr>
            <w:r>
              <w:rPr>
                <w:rFonts w:ascii="Arial" w:cs="Arial" w:eastAsia="Arial" w:hAnsi="Arial"/>
                <w:sz w:val="18"/>
                <w:szCs w:val="18"/>
                <w:color w:val="auto"/>
                <w:w w:val="99"/>
              </w:rPr>
              <w:t>829</w:t>
            </w:r>
          </w:p>
        </w:tc>
        <w:tc>
          <w:tcPr>
            <w:tcW w:w="10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Other non-current asset</w:t>
            </w: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7/14/2027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99"/>
              </w:rPr>
              <w:t>(828)</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r>
        <w:trPr>
          <w:trHeight w:val="229"/>
        </w:trPr>
        <w:tc>
          <w:tcPr>
            <w:tcW w:w="23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2.450 %</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8/14/2027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center"/>
              <w:ind w:left="253"/>
              <w:spacing w:after="0"/>
              <w:rPr>
                <w:sz w:val="20"/>
                <w:szCs w:val="20"/>
                <w:color w:val="auto"/>
              </w:rPr>
            </w:pPr>
            <w:r>
              <w:rPr>
                <w:rFonts w:ascii="Arial" w:cs="Arial" w:eastAsia="Arial" w:hAnsi="Arial"/>
                <w:sz w:val="18"/>
                <w:szCs w:val="18"/>
                <w:color w:val="auto"/>
                <w:w w:val="99"/>
              </w:rPr>
              <w:t>330</w:t>
            </w:r>
          </w:p>
        </w:tc>
        <w:tc>
          <w:tcPr>
            <w:tcW w:w="10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Other non-current asset</w:t>
            </w: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99"/>
              </w:rPr>
              <w:t>(216)</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4.488 %</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10/14/2028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center"/>
              <w:ind w:left="213"/>
              <w:spacing w:after="0"/>
              <w:rPr>
                <w:sz w:val="20"/>
                <w:szCs w:val="20"/>
                <w:color w:val="auto"/>
              </w:rPr>
            </w:pPr>
            <w:r>
              <w:rPr>
                <w:rFonts w:ascii="Arial" w:cs="Arial" w:eastAsia="Arial" w:hAnsi="Arial"/>
                <w:sz w:val="18"/>
                <w:szCs w:val="18"/>
                <w:color w:val="auto"/>
                <w:w w:val="99"/>
              </w:rPr>
              <w:t>(846)</w:t>
            </w:r>
          </w:p>
        </w:tc>
        <w:tc>
          <w:tcPr>
            <w:tcW w:w="10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99"/>
              </w:rPr>
              <w:t>(773)</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r>
        <w:trPr>
          <w:trHeight w:val="229"/>
        </w:trPr>
        <w:tc>
          <w:tcPr>
            <w:tcW w:w="23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3.503 %</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4/14/2030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center"/>
              <w:ind w:left="213"/>
              <w:spacing w:after="0"/>
              <w:rPr>
                <w:sz w:val="20"/>
                <w:szCs w:val="20"/>
                <w:color w:val="auto"/>
              </w:rPr>
            </w:pPr>
            <w:r>
              <w:rPr>
                <w:rFonts w:ascii="Arial" w:cs="Arial" w:eastAsia="Arial" w:hAnsi="Arial"/>
                <w:sz w:val="18"/>
                <w:szCs w:val="18"/>
                <w:color w:val="auto"/>
                <w:w w:val="99"/>
              </w:rPr>
              <w:t>(375)</w:t>
            </w:r>
          </w:p>
        </w:tc>
        <w:tc>
          <w:tcPr>
            <w:tcW w:w="10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99"/>
              </w:rPr>
              <w:t>(709)</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r>
        <w:trPr>
          <w:trHeight w:val="239"/>
        </w:trPr>
        <w:tc>
          <w:tcPr>
            <w:tcW w:w="23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3.680 %</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7/15/2030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center"/>
              <w:ind w:left="213"/>
              <w:spacing w:after="0"/>
              <w:rPr>
                <w:sz w:val="20"/>
                <w:szCs w:val="20"/>
                <w:color w:val="auto"/>
              </w:rPr>
            </w:pPr>
            <w:r>
              <w:rPr>
                <w:rFonts w:ascii="Arial" w:cs="Arial" w:eastAsia="Arial" w:hAnsi="Arial"/>
                <w:sz w:val="18"/>
                <w:szCs w:val="18"/>
                <w:color w:val="auto"/>
                <w:w w:val="99"/>
              </w:rPr>
              <w:t>(753)</w:t>
            </w:r>
          </w:p>
        </w:tc>
        <w:tc>
          <w:tcPr>
            <w:tcW w:w="10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320" w:hanging="320"/>
        <w:spacing w:after="0"/>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Entered into during the third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1300" w:top="998" w:right="37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7"/>
        </w:trPr>
        <w:tc>
          <w:tcPr>
            <w:tcW w:w="2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December 31, 2024</w:t>
            </w:r>
          </w:p>
        </w:tc>
        <w:tc>
          <w:tcPr>
            <w:tcW w:w="2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Notional</w:t>
            </w:r>
          </w:p>
        </w:tc>
        <w:tc>
          <w:tcPr>
            <w:tcW w:w="12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Fixed Rate</w:t>
            </w: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Expiration</w:t>
            </w:r>
          </w:p>
        </w:tc>
        <w:tc>
          <w:tcPr>
            <w:tcW w:w="220" w:type="dxa"/>
            <w:vAlign w:val="bottom"/>
          </w:tcPr>
          <w:p>
            <w:pPr>
              <w:spacing w:after="0"/>
              <w:rPr>
                <w:sz w:val="12"/>
                <w:szCs w:val="12"/>
                <w:color w:val="auto"/>
              </w:rPr>
            </w:pPr>
          </w:p>
        </w:tc>
        <w:tc>
          <w:tcPr>
            <w:tcW w:w="9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Fair</w:t>
            </w:r>
          </w:p>
        </w:tc>
        <w:tc>
          <w:tcPr>
            <w:tcW w:w="23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Balance Sheet Location</w:t>
            </w:r>
          </w:p>
        </w:tc>
        <w:tc>
          <w:tcPr>
            <w:tcW w:w="0" w:type="dxa"/>
            <w:vAlign w:val="bottom"/>
          </w:tcPr>
          <w:p>
            <w:pPr>
              <w:spacing w:after="0"/>
              <w:rPr>
                <w:sz w:val="1"/>
                <w:szCs w:val="1"/>
                <w:color w:val="auto"/>
              </w:rPr>
            </w:pPr>
          </w:p>
        </w:tc>
      </w:tr>
      <w:tr>
        <w:trPr>
          <w:trHeight w:val="185"/>
        </w:trPr>
        <w:tc>
          <w:tcPr>
            <w:tcW w:w="2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2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2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0.834 %</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4/14/2025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asset</w:t>
            </w:r>
          </w:p>
        </w:tc>
        <w:tc>
          <w:tcPr>
            <w:tcW w:w="0" w:type="dxa"/>
            <w:vAlign w:val="bottom"/>
          </w:tcPr>
          <w:p>
            <w:pPr>
              <w:spacing w:after="0"/>
              <w:rPr>
                <w:sz w:val="1"/>
                <w:szCs w:val="1"/>
                <w:color w:val="auto"/>
              </w:rPr>
            </w:pPr>
          </w:p>
        </w:tc>
      </w:tr>
      <w:tr>
        <w:trPr>
          <w:trHeight w:val="229"/>
        </w:trPr>
        <w:tc>
          <w:tcPr>
            <w:tcW w:w="23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1.186 %</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12/14/2026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Other non-current asset</w:t>
            </w: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8/14/2027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w:t>
            </w:r>
          </w:p>
        </w:tc>
        <w:tc>
          <w:tcPr>
            <w:tcW w:w="0" w:type="dxa"/>
            <w:vAlign w:val="bottom"/>
          </w:tcPr>
          <w:p>
            <w:pPr>
              <w:spacing w:after="0"/>
              <w:rPr>
                <w:sz w:val="1"/>
                <w:szCs w:val="1"/>
                <w:color w:val="auto"/>
              </w:rPr>
            </w:pPr>
          </w:p>
        </w:tc>
      </w:tr>
      <w:tr>
        <w:trPr>
          <w:trHeight w:val="229"/>
        </w:trPr>
        <w:tc>
          <w:tcPr>
            <w:tcW w:w="234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3.669 %</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4/14/2028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Other non-current asset</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8, Fair Value Measurements, for additional disclosures regarding fair value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The following table summarizes the effects of the interest rate swaps on the accompanying Condensed Consolidated Statements of Comprehensive Income for the three and nine months ended September 30, 2025 and 2024 (in thousands):</w:t>
      </w:r>
    </w:p>
    <w:tbl>
      <w:tblPr>
        <w:tblLayout w:type="fixed"/>
        <w:tblInd w:w="0" w:type="dxa"/>
        <w:tblCellMar>
          <w:top w:w="0" w:type="dxa"/>
          <w:left w:w="0" w:type="dxa"/>
          <w:bottom w:w="0" w:type="dxa"/>
          <w:right w:w="0" w:type="dxa"/>
        </w:tblCellMar>
      </w:tblPr>
      <w:tr>
        <w:trPr>
          <w:trHeight w:val="145"/>
        </w:trPr>
        <w:tc>
          <w:tcPr>
            <w:tcW w:w="3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00" w:type="dxa"/>
            <w:vAlign w:val="bottom"/>
            <w:gridSpan w:val="5"/>
          </w:tcPr>
          <w:p>
            <w:pPr>
              <w:jc w:val="center"/>
              <w:ind w:right="540"/>
              <w:spacing w:after="0" w:line="145" w:lineRule="exact"/>
              <w:rPr>
                <w:sz w:val="20"/>
                <w:szCs w:val="20"/>
                <w:color w:val="auto"/>
              </w:rPr>
            </w:pPr>
            <w:r>
              <w:rPr>
                <w:rFonts w:ascii="Arial" w:cs="Arial" w:eastAsia="Arial" w:hAnsi="Arial"/>
                <w:sz w:val="14"/>
                <w:szCs w:val="14"/>
                <w:b w:val="1"/>
                <w:bCs w:val="1"/>
                <w:color w:val="auto"/>
              </w:rPr>
              <w:t>Loss Recognized</w:t>
            </w:r>
          </w:p>
        </w:tc>
        <w:tc>
          <w:tcPr>
            <w:tcW w:w="240" w:type="dxa"/>
            <w:vAlign w:val="bottom"/>
          </w:tcPr>
          <w:p>
            <w:pPr>
              <w:spacing w:after="0"/>
              <w:rPr>
                <w:sz w:val="12"/>
                <w:szCs w:val="12"/>
                <w:color w:val="auto"/>
              </w:rPr>
            </w:pPr>
          </w:p>
        </w:tc>
        <w:tc>
          <w:tcPr>
            <w:tcW w:w="2160" w:type="dxa"/>
            <w:vAlign w:val="bottom"/>
            <w:gridSpan w:val="4"/>
          </w:tcPr>
          <w:p>
            <w:pPr>
              <w:jc w:val="center"/>
              <w:ind w:right="159"/>
              <w:spacing w:after="0" w:line="145" w:lineRule="exact"/>
              <w:rPr>
                <w:sz w:val="20"/>
                <w:szCs w:val="20"/>
                <w:color w:val="auto"/>
              </w:rPr>
            </w:pPr>
            <w:r>
              <w:rPr>
                <w:rFonts w:ascii="Arial" w:cs="Arial" w:eastAsia="Arial" w:hAnsi="Arial"/>
                <w:sz w:val="14"/>
                <w:szCs w:val="14"/>
                <w:b w:val="1"/>
                <w:bCs w:val="1"/>
                <w:color w:val="auto"/>
              </w:rPr>
              <w:t>Gain Reclassified</w:t>
            </w:r>
          </w:p>
        </w:tc>
      </w:tr>
      <w:tr>
        <w:trPr>
          <w:trHeight w:val="189"/>
        </w:trPr>
        <w:tc>
          <w:tcPr>
            <w:tcW w:w="3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ind w:right="199"/>
              <w:spacing w:after="0"/>
              <w:rPr>
                <w:sz w:val="20"/>
                <w:szCs w:val="20"/>
                <w:color w:val="auto"/>
              </w:rPr>
            </w:pPr>
            <w:r>
              <w:rPr>
                <w:rFonts w:ascii="Arial" w:cs="Arial" w:eastAsia="Arial" w:hAnsi="Arial"/>
                <w:sz w:val="14"/>
                <w:szCs w:val="14"/>
                <w:b w:val="1"/>
                <w:bCs w:val="1"/>
                <w:color w:val="auto"/>
              </w:rPr>
              <w:t>in AOCI, net of tax</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center"/>
              <w:ind w:right="179"/>
              <w:spacing w:after="0"/>
              <w:rPr>
                <w:sz w:val="20"/>
                <w:szCs w:val="20"/>
                <w:color w:val="auto"/>
              </w:rPr>
            </w:pPr>
            <w:r>
              <w:rPr>
                <w:rFonts w:ascii="Arial" w:cs="Arial" w:eastAsia="Arial" w:hAnsi="Arial"/>
                <w:sz w:val="14"/>
                <w:szCs w:val="14"/>
                <w:b w:val="1"/>
                <w:bCs w:val="1"/>
                <w:color w:val="auto"/>
              </w:rPr>
              <w:t>from AOCI into Expense</w:t>
            </w:r>
          </w:p>
        </w:tc>
      </w:tr>
      <w:tr>
        <w:trPr>
          <w:trHeight w:val="142"/>
        </w:trPr>
        <w:tc>
          <w:tcPr>
            <w:tcW w:w="3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00" w:type="dxa"/>
            <w:vAlign w:val="bottom"/>
            <w:gridSpan w:val="5"/>
          </w:tcPr>
          <w:p>
            <w:pPr>
              <w:jc w:val="center"/>
              <w:ind w:right="540"/>
              <w:spacing w:after="0" w:line="142" w:lineRule="exact"/>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2"/>
                <w:szCs w:val="12"/>
                <w:color w:val="auto"/>
              </w:rPr>
            </w:pPr>
          </w:p>
        </w:tc>
        <w:tc>
          <w:tcPr>
            <w:tcW w:w="2160" w:type="dxa"/>
            <w:vAlign w:val="bottom"/>
            <w:gridSpan w:val="4"/>
          </w:tcPr>
          <w:p>
            <w:pPr>
              <w:jc w:val="center"/>
              <w:ind w:right="179"/>
              <w:spacing w:after="0" w:line="142" w:lineRule="exact"/>
              <w:rPr>
                <w:sz w:val="20"/>
                <w:szCs w:val="20"/>
                <w:color w:val="auto"/>
              </w:rPr>
            </w:pPr>
            <w:r>
              <w:rPr>
                <w:rFonts w:ascii="Arial" w:cs="Arial" w:eastAsia="Arial" w:hAnsi="Arial"/>
                <w:sz w:val="14"/>
                <w:szCs w:val="14"/>
                <w:b w:val="1"/>
                <w:bCs w:val="1"/>
                <w:color w:val="auto"/>
              </w:rPr>
              <w:t>Three Months Ended</w:t>
            </w:r>
          </w:p>
        </w:tc>
      </w:tr>
      <w:tr>
        <w:trPr>
          <w:trHeight w:val="189"/>
        </w:trPr>
        <w:tc>
          <w:tcPr>
            <w:tcW w:w="3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04"/>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center"/>
              <w:ind w:right="179"/>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3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2024</w:t>
            </w:r>
          </w:p>
        </w:tc>
      </w:tr>
      <w:tr>
        <w:trPr>
          <w:trHeight w:val="224"/>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846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r>
      <w:tr>
        <w:trPr>
          <w:trHeight w:val="405"/>
        </w:trPr>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rPr>
              <w:t>(Loss) Gain Recognized</w:t>
            </w:r>
          </w:p>
        </w:tc>
        <w:tc>
          <w:tcPr>
            <w:tcW w:w="240" w:type="dxa"/>
            <w:vAlign w:val="bottom"/>
          </w:tcPr>
          <w:p>
            <w:pPr>
              <w:spacing w:after="0"/>
              <w:rPr>
                <w:sz w:val="24"/>
                <w:szCs w:val="24"/>
                <w:color w:val="auto"/>
              </w:rPr>
            </w:pPr>
          </w:p>
        </w:tc>
        <w:tc>
          <w:tcPr>
            <w:tcW w:w="2160" w:type="dxa"/>
            <w:vAlign w:val="bottom"/>
            <w:gridSpan w:val="4"/>
          </w:tcPr>
          <w:p>
            <w:pPr>
              <w:jc w:val="center"/>
              <w:ind w:right="159"/>
              <w:spacing w:after="0"/>
              <w:rPr>
                <w:sz w:val="20"/>
                <w:szCs w:val="20"/>
                <w:color w:val="auto"/>
              </w:rPr>
            </w:pPr>
            <w:r>
              <w:rPr>
                <w:rFonts w:ascii="Arial" w:cs="Arial" w:eastAsia="Arial" w:hAnsi="Arial"/>
                <w:sz w:val="14"/>
                <w:szCs w:val="14"/>
                <w:b w:val="1"/>
                <w:bCs w:val="1"/>
                <w:color w:val="auto"/>
              </w:rPr>
              <w:t>Gain Reclassified</w:t>
            </w:r>
          </w:p>
        </w:tc>
      </w:tr>
      <w:tr>
        <w:trPr>
          <w:trHeight w:val="189"/>
        </w:trPr>
        <w:tc>
          <w:tcPr>
            <w:tcW w:w="3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ind w:right="199"/>
              <w:spacing w:after="0"/>
              <w:rPr>
                <w:sz w:val="20"/>
                <w:szCs w:val="20"/>
                <w:color w:val="auto"/>
              </w:rPr>
            </w:pPr>
            <w:r>
              <w:rPr>
                <w:rFonts w:ascii="Arial" w:cs="Arial" w:eastAsia="Arial" w:hAnsi="Arial"/>
                <w:sz w:val="14"/>
                <w:szCs w:val="14"/>
                <w:b w:val="1"/>
                <w:bCs w:val="1"/>
                <w:color w:val="auto"/>
              </w:rPr>
              <w:t>in AOCI, net of tax</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center"/>
              <w:ind w:right="179"/>
              <w:spacing w:after="0"/>
              <w:rPr>
                <w:sz w:val="20"/>
                <w:szCs w:val="20"/>
                <w:color w:val="auto"/>
              </w:rPr>
            </w:pPr>
            <w:r>
              <w:rPr>
                <w:rFonts w:ascii="Arial" w:cs="Arial" w:eastAsia="Arial" w:hAnsi="Arial"/>
                <w:sz w:val="14"/>
                <w:szCs w:val="14"/>
                <w:b w:val="1"/>
                <w:bCs w:val="1"/>
                <w:color w:val="auto"/>
              </w:rPr>
              <w:t>from AOCI into Expense</w:t>
            </w:r>
          </w:p>
        </w:tc>
      </w:tr>
      <w:tr>
        <w:trPr>
          <w:trHeight w:val="195"/>
        </w:trPr>
        <w:tc>
          <w:tcPr>
            <w:tcW w:w="3680" w:type="dxa"/>
            <w:vAlign w:val="bottom"/>
          </w:tcPr>
          <w:p>
            <w:pPr>
              <w:spacing w:after="0"/>
              <w:rPr>
                <w:sz w:val="16"/>
                <w:szCs w:val="16"/>
                <w:color w:val="auto"/>
              </w:rPr>
            </w:pPr>
          </w:p>
        </w:tc>
        <w:tc>
          <w:tcPr>
            <w:tcW w:w="27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rPr>
              <w:t>Nine Months Ended September 30,</w:t>
            </w:r>
          </w:p>
        </w:tc>
        <w:tc>
          <w:tcPr>
            <w:tcW w:w="2400" w:type="dxa"/>
            <w:vAlign w:val="bottom"/>
            <w:gridSpan w:val="5"/>
          </w:tcPr>
          <w:p>
            <w:pPr>
              <w:jc w:val="center"/>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36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bottom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2024</w:t>
            </w:r>
          </w:p>
        </w:tc>
      </w:tr>
      <w:tr>
        <w:trPr>
          <w:trHeight w:val="224"/>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2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2,219</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1300" w:top="940"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117" w:lineRule="exact"/>
        <w:rPr>
          <w:sz w:val="20"/>
          <w:szCs w:val="20"/>
          <w:color w:val="auto"/>
        </w:rPr>
      </w:pPr>
    </w:p>
    <w:p>
      <w:pPr>
        <w:jc w:val="both"/>
        <w:ind w:left="980"/>
        <w:spacing w:after="0" w:line="268" w:lineRule="auto"/>
        <w:rPr>
          <w:sz w:val="20"/>
          <w:szCs w:val="20"/>
          <w:color w:val="auto"/>
        </w:rPr>
      </w:pPr>
      <w:r>
        <w:rPr>
          <w:rFonts w:ascii="Arial" w:cs="Arial" w:eastAsia="Arial" w:hAnsi="Arial"/>
          <w:sz w:val="18"/>
          <w:szCs w:val="18"/>
          <w:color w:val="auto"/>
        </w:rPr>
        <w:t>The following table summarizes our assets and (liabilities) at September 30, 2025 and December 31, 2024, respectively, that are measured at fair value on a recurring basis subsequent to initial recognition and indicates the fair value hierarchy of the valuation techniques utilized by us to determine such fair value (in thousands):</w:t>
      </w:r>
    </w:p>
    <w:p>
      <w:pPr>
        <w:spacing w:after="0" w:line="99"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41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Level</w:t>
            </w:r>
          </w:p>
        </w:tc>
        <w:tc>
          <w:tcPr>
            <w:tcW w:w="18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2025</w:t>
            </w:r>
          </w:p>
        </w:tc>
        <w:tc>
          <w:tcPr>
            <w:tcW w:w="200" w:type="dxa"/>
            <w:vAlign w:val="bottom"/>
          </w:tcPr>
          <w:p>
            <w:pPr>
              <w:spacing w:after="0"/>
              <w:rPr>
                <w:sz w:val="17"/>
                <w:szCs w:val="17"/>
                <w:color w:val="auto"/>
              </w:rPr>
            </w:pPr>
          </w:p>
        </w:tc>
        <w:tc>
          <w:tcPr>
            <w:tcW w:w="1620" w:type="dxa"/>
            <w:vAlign w:val="bottom"/>
          </w:tcPr>
          <w:p>
            <w:pPr>
              <w:jc w:val="right"/>
              <w:ind w:right="172"/>
              <w:spacing w:after="0"/>
              <w:rPr>
                <w:sz w:val="20"/>
                <w:szCs w:val="20"/>
                <w:color w:val="auto"/>
              </w:rPr>
            </w:pPr>
            <w:r>
              <w:rPr>
                <w:rFonts w:ascii="Arial" w:cs="Arial" w:eastAsia="Arial" w:hAnsi="Arial"/>
                <w:sz w:val="14"/>
                <w:szCs w:val="14"/>
                <w:b w:val="1"/>
                <w:bCs w:val="1"/>
                <w:color w:val="auto"/>
              </w:rPr>
              <w:t>December 31, 2024</w:t>
            </w:r>
          </w:p>
        </w:tc>
      </w:tr>
      <w:tr>
        <w:trPr>
          <w:trHeight w:val="224"/>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of deferred compensation plan</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181,127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167,170</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Available-for-sale debt securities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45,159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40,999</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depository assets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Deferred compensation plan obligations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(181,127)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(167,170)</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Bank debt, net</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(1,568,962)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(1,399,932)</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purchase price liabilities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(96,967)</w:t>
            </w:r>
          </w:p>
        </w:tc>
      </w:tr>
    </w:tbl>
    <w:p>
      <w:pPr>
        <w:spacing w:after="0" w:line="170" w:lineRule="exact"/>
        <w:rPr>
          <w:sz w:val="20"/>
          <w:szCs w:val="20"/>
          <w:color w:val="auto"/>
        </w:rPr>
      </w:pPr>
    </w:p>
    <w:p>
      <w:pPr>
        <w:jc w:val="both"/>
        <w:ind w:left="980" w:right="40"/>
        <w:spacing w:after="0" w:line="287" w:lineRule="auto"/>
        <w:rPr>
          <w:sz w:val="20"/>
          <w:szCs w:val="20"/>
          <w:color w:val="auto"/>
        </w:rPr>
      </w:pPr>
      <w:r>
        <w:rPr>
          <w:rFonts w:ascii="Arial" w:cs="Arial" w:eastAsia="Arial" w:hAnsi="Arial"/>
          <w:sz w:val="18"/>
          <w:szCs w:val="18"/>
          <w:color w:val="auto"/>
        </w:rPr>
        <w:t>During the nine months ended September 30, 2025 and 2024, there were no transfers between the valuation hierarchy Levels 1, 2 and 3.</w:t>
      </w:r>
    </w:p>
    <w:p>
      <w:pPr>
        <w:spacing w:after="0" w:line="45" w:lineRule="exact"/>
        <w:rPr>
          <w:sz w:val="20"/>
          <w:szCs w:val="20"/>
          <w:color w:val="auto"/>
        </w:rPr>
      </w:pPr>
    </w:p>
    <w:p>
      <w:pPr>
        <w:ind w:left="980" w:right="140"/>
        <w:spacing w:after="0" w:line="287" w:lineRule="auto"/>
        <w:rPr>
          <w:sz w:val="20"/>
          <w:szCs w:val="20"/>
          <w:color w:val="auto"/>
        </w:rPr>
      </w:pPr>
      <w:r>
        <w:rPr>
          <w:rFonts w:ascii="Arial" w:cs="Arial" w:eastAsia="Arial" w:hAnsi="Arial"/>
          <w:sz w:val="18"/>
          <w:szCs w:val="18"/>
          <w:color w:val="auto"/>
        </w:rPr>
        <w:t>The following table summarizes the change in Level 3 fair values of our contingent purchase price liabilities for the nine months ended September 30, 2025 and 2024 (pre-tax basis, in thousands):</w:t>
      </w:r>
    </w:p>
    <w:p>
      <w:pPr>
        <w:spacing w:after="0" w:line="82"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63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2024</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 December 31</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(114,946)</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Additions from business acquisitions</w:t>
            </w:r>
          </w:p>
        </w:tc>
        <w:tc>
          <w:tcPr>
            <w:tcW w:w="1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(15,184)</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purchase price liabilities assumed</w:t>
            </w:r>
          </w:p>
        </w:tc>
        <w:tc>
          <w:tcPr>
            <w:tcW w:w="1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(5,231)</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Settlement of contingent purchase price liabilities</w:t>
            </w:r>
          </w:p>
        </w:tc>
        <w:tc>
          <w:tcPr>
            <w:tcW w:w="1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60,635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58,468</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contingencies</w:t>
            </w:r>
          </w:p>
        </w:tc>
        <w:tc>
          <w:tcPr>
            <w:tcW w:w="1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net present value of contingencies</w:t>
            </w:r>
          </w:p>
        </w:tc>
        <w:tc>
          <w:tcPr>
            <w:tcW w:w="1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 September 30</w:t>
            </w: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summarizes the changes in contingent purchase price consideration for previous acquisitions and contingent</w:t>
      </w:r>
    </w:p>
    <w:p>
      <w:pPr>
        <w:spacing w:after="0" w:line="14" w:lineRule="exact"/>
        <w:rPr>
          <w:sz w:val="20"/>
          <w:szCs w:val="20"/>
          <w:color w:val="auto"/>
        </w:rPr>
      </w:pPr>
    </w:p>
    <w:p>
      <w:pPr>
        <w:ind w:left="980" w:right="800"/>
        <w:spacing w:after="0" w:line="237" w:lineRule="auto"/>
        <w:rPr>
          <w:sz w:val="20"/>
          <w:szCs w:val="20"/>
          <w:color w:val="auto"/>
        </w:rPr>
      </w:pPr>
      <w:r>
        <w:rPr>
          <w:rFonts w:ascii="Arial" w:cs="Arial" w:eastAsia="Arial" w:hAnsi="Arial"/>
          <w:sz w:val="18"/>
          <w:szCs w:val="18"/>
          <w:color w:val="auto"/>
        </w:rPr>
        <w:t>payments made for previous business acquisitions in the three and nine months ended September 30, 2025 and 2024, respectively (in thousands):</w:t>
      </w:r>
    </w:p>
    <w:p>
      <w:pPr>
        <w:spacing w:after="0" w:line="136" w:lineRule="exact"/>
        <w:rPr>
          <w:sz w:val="20"/>
          <w:szCs w:val="20"/>
          <w:color w:val="auto"/>
        </w:rPr>
      </w:pPr>
    </w:p>
    <w:tbl>
      <w:tblPr>
        <w:tblLayout w:type="fixed"/>
        <w:tblInd w:w="980" w:type="dxa"/>
        <w:tblCellMar>
          <w:top w:w="0" w:type="dxa"/>
          <w:left w:w="0" w:type="dxa"/>
          <w:bottom w:w="0" w:type="dxa"/>
          <w:right w:w="0" w:type="dxa"/>
        </w:tblCellMar>
      </w:tblPr>
      <w:tr>
        <w:trPr>
          <w:trHeight w:val="197"/>
        </w:trPr>
        <w:tc>
          <w:tcPr>
            <w:tcW w:w="2940" w:type="dxa"/>
            <w:vAlign w:val="bottom"/>
          </w:tcPr>
          <w:p>
            <w:pPr>
              <w:spacing w:after="0"/>
              <w:rPr>
                <w:sz w:val="17"/>
                <w:szCs w:val="17"/>
                <w:color w:val="auto"/>
              </w:rPr>
            </w:pPr>
          </w:p>
        </w:tc>
        <w:tc>
          <w:tcPr>
            <w:tcW w:w="34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7"/>
                <w:szCs w:val="17"/>
                <w:color w:val="auto"/>
              </w:rPr>
            </w:pPr>
          </w:p>
        </w:tc>
        <w:tc>
          <w:tcPr>
            <w:tcW w:w="266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294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2024</w:t>
            </w:r>
          </w:p>
        </w:tc>
      </w:tr>
      <w:tr>
        <w:trPr>
          <w:trHeight w:val="224"/>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expense</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w:t>
            </w: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Cash settlement paid</w:t>
            </w:r>
          </w:p>
        </w:tc>
        <w:tc>
          <w:tcPr>
            <w:tcW w:w="1080" w:type="dxa"/>
            <w:vAlign w:val="bottom"/>
          </w:tcPr>
          <w:p>
            <w:pPr>
              <w:jc w:val="right"/>
              <w:ind w:right="87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7,061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9,840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55,825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50,695</w:t>
            </w: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 (number)</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bl>
    <w:p>
      <w:pPr>
        <w:spacing w:after="0" w:line="184" w:lineRule="exact"/>
        <w:rPr>
          <w:sz w:val="20"/>
          <w:szCs w:val="20"/>
          <w:color w:val="auto"/>
        </w:rPr>
      </w:pPr>
    </w:p>
    <w:p>
      <w:pPr>
        <w:jc w:val="both"/>
        <w:ind w:left="980" w:right="40"/>
        <w:spacing w:after="0" w:line="268" w:lineRule="auto"/>
        <w:rPr>
          <w:sz w:val="20"/>
          <w:szCs w:val="20"/>
          <w:color w:val="auto"/>
        </w:rPr>
      </w:pPr>
      <w:r>
        <w:rPr>
          <w:rFonts w:ascii="Arial" w:cs="Arial" w:eastAsia="Arial" w:hAnsi="Arial"/>
          <w:sz w:val="18"/>
          <w:szCs w:val="18"/>
          <w:color w:val="auto"/>
        </w:rPr>
        <w:t>Refer to Note 8, Fair Value Measurements, to the consolidated financial statements contained in our Annual Report on Form 10-K for the year ended December 31, 2024 for further discussion on the fair value measurements and classification of our financial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9. OTHER COMPREHENSIVE INCOME</w:t>
      </w:r>
    </w:p>
    <w:p>
      <w:pPr>
        <w:spacing w:after="0" w:line="117" w:lineRule="exact"/>
        <w:rPr>
          <w:sz w:val="20"/>
          <w:szCs w:val="20"/>
          <w:color w:val="auto"/>
        </w:rPr>
      </w:pPr>
    </w:p>
    <w:p>
      <w:pPr>
        <w:ind w:left="980" w:right="500"/>
        <w:spacing w:after="0" w:line="279" w:lineRule="auto"/>
        <w:rPr>
          <w:sz w:val="20"/>
          <w:szCs w:val="20"/>
          <w:color w:val="auto"/>
        </w:rPr>
      </w:pPr>
      <w:r>
        <w:rPr>
          <w:rFonts w:ascii="Arial" w:cs="Arial" w:eastAsia="Arial" w:hAnsi="Arial"/>
          <w:sz w:val="18"/>
          <w:szCs w:val="18"/>
          <w:color w:val="auto"/>
        </w:rPr>
        <w:t>The following table is a summary of other comprehensive income and discloses the tax impact of each component of other comprehensive (loss) income for the three and nine months ended September 30, 2025 and 2024 (in thousands):</w:t>
      </w:r>
    </w:p>
    <w:tbl>
      <w:tblPr>
        <w:tblLayout w:type="fixed"/>
        <w:tblInd w:w="980" w:type="dxa"/>
        <w:tblCellMar>
          <w:top w:w="0" w:type="dxa"/>
          <w:left w:w="0" w:type="dxa"/>
          <w:bottom w:w="0" w:type="dxa"/>
          <w:right w:w="0" w:type="dxa"/>
        </w:tblCellMar>
      </w:tblPr>
      <w:tr>
        <w:trPr>
          <w:trHeight w:val="149"/>
        </w:trPr>
        <w:tc>
          <w:tcPr>
            <w:tcW w:w="3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00" w:type="dxa"/>
            <w:vAlign w:val="bottom"/>
            <w:gridSpan w:val="5"/>
          </w:tcPr>
          <w:p>
            <w:pPr>
              <w:ind w:left="420"/>
              <w:spacing w:after="0" w:line="149" w:lineRule="exact"/>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2"/>
                <w:szCs w:val="12"/>
                <w:color w:val="auto"/>
              </w:rPr>
            </w:pPr>
          </w:p>
        </w:tc>
        <w:tc>
          <w:tcPr>
            <w:tcW w:w="2240" w:type="dxa"/>
            <w:vAlign w:val="bottom"/>
            <w:gridSpan w:val="4"/>
          </w:tcPr>
          <w:p>
            <w:pPr>
              <w:jc w:val="right"/>
              <w:ind w:right="514"/>
              <w:spacing w:after="0" w:line="149"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3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6"/>
              </w:rPr>
              <w:t>2024</w:t>
            </w:r>
          </w:p>
        </w:tc>
        <w:tc>
          <w:tcPr>
            <w:tcW w:w="0" w:type="dxa"/>
            <w:vAlign w:val="bottom"/>
          </w:tcPr>
          <w:p>
            <w:pPr>
              <w:spacing w:after="0"/>
              <w:rPr>
                <w:sz w:val="1"/>
                <w:szCs w:val="1"/>
                <w:color w:val="auto"/>
              </w:rPr>
            </w:pPr>
          </w:p>
        </w:tc>
      </w:tr>
      <w:tr>
        <w:trPr>
          <w:trHeight w:val="156"/>
        </w:trPr>
        <w:tc>
          <w:tcPr>
            <w:tcW w:w="360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Net unrealized gain on available-for-sale</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securities, net of taxes</w:t>
            </w:r>
            <w:r>
              <w:rPr>
                <w:rFonts w:ascii="Arial" w:cs="Arial" w:eastAsia="Arial" w:hAnsi="Arial"/>
                <w:sz w:val="23"/>
                <w:szCs w:val="23"/>
                <w:color w:val="auto"/>
                <w:vertAlign w:val="superscript"/>
              </w:rPr>
              <w:t>(1)</w:t>
            </w:r>
          </w:p>
        </w:tc>
        <w:tc>
          <w:tcPr>
            <w:tcW w:w="32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vMerge w:val="continue"/>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20"/>
              <w:spacing w:after="0" w:line="176" w:lineRule="exact"/>
              <w:rPr>
                <w:sz w:val="20"/>
                <w:szCs w:val="20"/>
                <w:color w:val="auto"/>
              </w:rPr>
            </w:pPr>
            <w:r>
              <w:rPr>
                <w:rFonts w:ascii="Arial" w:cs="Arial" w:eastAsia="Arial" w:hAnsi="Arial"/>
                <w:sz w:val="18"/>
                <w:szCs w:val="18"/>
                <w:color w:val="auto"/>
              </w:rPr>
              <w:t>Net unrealized (loss) on interest rate swaps,</w:t>
            </w: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(1,271)</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(2,709)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(4,736)</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43"/>
        </w:trPr>
        <w:tc>
          <w:tcPr>
            <w:tcW w:w="3600" w:type="dxa"/>
            <w:vAlign w:val="bottom"/>
          </w:tcPr>
          <w:p>
            <w:pPr>
              <w:ind w:left="180"/>
              <w:spacing w:after="0" w:line="243" w:lineRule="exact"/>
              <w:rPr>
                <w:sz w:val="20"/>
                <w:szCs w:val="20"/>
                <w:color w:val="auto"/>
              </w:rPr>
            </w:pPr>
            <w:r>
              <w:rPr>
                <w:rFonts w:ascii="Arial" w:cs="Arial" w:eastAsia="Arial" w:hAnsi="Arial"/>
                <w:sz w:val="18"/>
                <w:szCs w:val="18"/>
                <w:color w:val="auto"/>
              </w:rPr>
              <w:t>net of taxes</w:t>
            </w:r>
            <w:r>
              <w:rPr>
                <w:rFonts w:ascii="Arial" w:cs="Arial" w:eastAsia="Arial" w:hAnsi="Arial"/>
                <w:sz w:val="23"/>
                <w:szCs w:val="23"/>
                <w:color w:val="auto"/>
                <w:vertAlign w:val="superscript"/>
              </w:rPr>
              <w:t>(2)</w:t>
            </w:r>
          </w:p>
        </w:tc>
        <w:tc>
          <w:tcPr>
            <w:tcW w:w="3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Arial" w:cs="Arial" w:eastAsia="Arial" w:hAnsi="Arial"/>
                <w:sz w:val="18"/>
                <w:szCs w:val="18"/>
                <w:color w:val="auto"/>
              </w:rPr>
              <w:t>Total other comprehensive (loss), net of tax</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890" w:right="359" w:bottom="1440" w:gutter="0" w:footer="0" w:header="0"/>
        </w:sectPr>
      </w:pPr>
    </w:p>
    <w:p>
      <w:pPr>
        <w:spacing w:after="0" w:line="211" w:lineRule="exact"/>
        <w:rPr>
          <w:sz w:val="20"/>
          <w:szCs w:val="20"/>
          <w:color w:val="auto"/>
        </w:rPr>
      </w:pPr>
    </w:p>
    <w:p>
      <w:pPr>
        <w:ind w:left="980"/>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ind w:left="980"/>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Net of income tax expense of $12 and $85 for the three months ended September 30, 2025 and 2024, respectively.</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of income tax expense of $63 and $174 for the nine months ended September 30, 2025 and 2024,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of income tax benefit of $422 and $903 for the three months ended September 30, 2025 and 2024, respectively.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of income tax benefit of $1,578 and $680 for the nine months ended September 30, 2025 and 2024, respectively.</w:t>
      </w:r>
    </w:p>
    <w:p>
      <w:pPr>
        <w:spacing w:after="0" w:line="200" w:lineRule="exact"/>
        <w:rPr>
          <w:sz w:val="20"/>
          <w:szCs w:val="20"/>
          <w:color w:val="auto"/>
        </w:rPr>
      </w:pPr>
    </w:p>
    <w:p>
      <w:pPr>
        <w:sectPr>
          <w:pgSz w:w="11900" w:h="16838" w:orient="portrait"/>
          <w:cols w:equalWidth="0" w:num="2">
            <w:col w:w="1120" w:space="660"/>
            <w:col w:w="9440"/>
          </w:cols>
          <w:pgMar w:left="320" w:top="890" w:right="35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COMMON STOCK</w:t>
      </w:r>
    </w:p>
    <w:p>
      <w:pPr>
        <w:spacing w:after="0" w:line="104" w:lineRule="exact"/>
        <w:rPr>
          <w:sz w:val="20"/>
          <w:szCs w:val="20"/>
          <w:color w:val="auto"/>
        </w:rPr>
      </w:pPr>
    </w:p>
    <w:p>
      <w:pPr>
        <w:ind w:left="980"/>
        <w:spacing w:after="0" w:line="247" w:lineRule="auto"/>
        <w:rPr>
          <w:sz w:val="20"/>
          <w:szCs w:val="20"/>
          <w:color w:val="auto"/>
        </w:rPr>
      </w:pPr>
      <w:r>
        <w:rPr>
          <w:rFonts w:ascii="Arial" w:cs="Arial" w:eastAsia="Arial" w:hAnsi="Arial"/>
          <w:sz w:val="18"/>
          <w:szCs w:val="18"/>
          <w:b w:val="1"/>
          <w:bCs w:val="1"/>
          <w:color w:val="auto"/>
        </w:rPr>
        <w:t xml:space="preserve">Common Stock Issued for the Transaction - </w:t>
      </w:r>
      <w:r>
        <w:rPr>
          <w:rFonts w:ascii="Arial" w:cs="Arial" w:eastAsia="Arial" w:hAnsi="Arial"/>
          <w:sz w:val="18"/>
          <w:szCs w:val="18"/>
          <w:color w:val="auto"/>
        </w:rPr>
        <w:t>Pursuant to the Agreement and Plan of Merger, dated as of July 30, 2024, by and</w:t>
      </w:r>
      <w:r>
        <w:rPr>
          <w:rFonts w:ascii="Arial" w:cs="Arial" w:eastAsia="Arial" w:hAnsi="Arial"/>
          <w:sz w:val="18"/>
          <w:szCs w:val="18"/>
          <w:b w:val="1"/>
          <w:bCs w:val="1"/>
          <w:color w:val="auto"/>
        </w:rPr>
        <w:t xml:space="preserve"> </w:t>
      </w:r>
      <w:r>
        <w:rPr>
          <w:rFonts w:ascii="Arial" w:cs="Arial" w:eastAsia="Arial" w:hAnsi="Arial"/>
          <w:sz w:val="18"/>
          <w:szCs w:val="18"/>
          <w:color w:val="auto"/>
        </w:rPr>
        <w:t>among the Company, Marcum and the other parties thereto (the “Merger Agreement”) and as part of the total purchase price consideration, we issued shares of our common stock to the selling shareholders in the Transaction. Refer to Note 3, Business Combinations, for more detail.</w:t>
      </w:r>
    </w:p>
    <w:p>
      <w:pPr>
        <w:spacing w:after="0" w:line="66" w:lineRule="exact"/>
        <w:rPr>
          <w:sz w:val="20"/>
          <w:szCs w:val="20"/>
          <w:color w:val="auto"/>
        </w:rPr>
      </w:pPr>
    </w:p>
    <w:p>
      <w:pPr>
        <w:ind w:left="980" w:right="60"/>
        <w:spacing w:after="0" w:line="247" w:lineRule="auto"/>
        <w:rPr>
          <w:sz w:val="20"/>
          <w:szCs w:val="20"/>
          <w:color w:val="auto"/>
        </w:rPr>
      </w:pPr>
      <w:r>
        <w:rPr>
          <w:rFonts w:ascii="Arial" w:cs="Arial" w:eastAsia="Arial" w:hAnsi="Arial"/>
          <w:sz w:val="18"/>
          <w:szCs w:val="18"/>
          <w:b w:val="1"/>
          <w:bCs w:val="1"/>
          <w:color w:val="auto"/>
        </w:rPr>
        <w:t xml:space="preserve">Right of First Refusal Program - </w:t>
      </w:r>
      <w:r>
        <w:rPr>
          <w:rFonts w:ascii="Arial" w:cs="Arial" w:eastAsia="Arial" w:hAnsi="Arial"/>
          <w:sz w:val="18"/>
          <w:szCs w:val="18"/>
          <w:color w:val="auto"/>
        </w:rPr>
        <w:t>Pursuant to the Merger Agreement, the Company and selling shareholders entered into a</w:t>
      </w:r>
      <w:r>
        <w:rPr>
          <w:rFonts w:ascii="Arial" w:cs="Arial" w:eastAsia="Arial" w:hAnsi="Arial"/>
          <w:sz w:val="18"/>
          <w:szCs w:val="18"/>
          <w:b w:val="1"/>
          <w:bCs w:val="1"/>
          <w:color w:val="auto"/>
        </w:rPr>
        <w:t xml:space="preserve"> </w:t>
      </w:r>
      <w:r>
        <w:rPr>
          <w:rFonts w:ascii="Arial" w:cs="Arial" w:eastAsia="Arial" w:hAnsi="Arial"/>
          <w:sz w:val="18"/>
          <w:szCs w:val="18"/>
          <w:color w:val="auto"/>
        </w:rPr>
        <w:t>Right of First Refusal Agreement (the “ROFR Agreement”). Under the ROFR Agreement, the selling shareholders granted the Company a right of first refusal to repurchase all or any portion of our common stock issued to the selling shareholders pursuant to the Merger Agreement. The Company holds the right of first refusal until November 1, 2028.</w:t>
      </w:r>
    </w:p>
    <w:p>
      <w:pPr>
        <w:spacing w:after="0" w:line="66" w:lineRule="exact"/>
        <w:rPr>
          <w:sz w:val="20"/>
          <w:szCs w:val="20"/>
          <w:color w:val="auto"/>
        </w:rPr>
      </w:pPr>
    </w:p>
    <w:p>
      <w:pPr>
        <w:ind w:left="980" w:right="160"/>
        <w:spacing w:after="0" w:line="259" w:lineRule="auto"/>
        <w:rPr>
          <w:sz w:val="20"/>
          <w:szCs w:val="20"/>
          <w:color w:val="auto"/>
        </w:rPr>
      </w:pPr>
      <w:r>
        <w:rPr>
          <w:rFonts w:ascii="Arial" w:cs="Arial" w:eastAsia="Arial" w:hAnsi="Arial"/>
          <w:sz w:val="17"/>
          <w:szCs w:val="17"/>
          <w:b w:val="1"/>
          <w:bCs w:val="1"/>
          <w:color w:val="auto"/>
        </w:rPr>
        <w:t xml:space="preserve">Share Repurchase Program </w:t>
      </w:r>
      <w:r>
        <w:rPr>
          <w:rFonts w:ascii="Arial" w:cs="Arial" w:eastAsia="Arial" w:hAnsi="Arial"/>
          <w:sz w:val="17"/>
          <w:szCs w:val="17"/>
          <w:color w:val="auto"/>
        </w:rPr>
        <w:t>- Over the past twenty years, our Board of Directors has annually renewed the Company’s share</w:t>
      </w:r>
      <w:r>
        <w:rPr>
          <w:rFonts w:ascii="Arial" w:cs="Arial" w:eastAsia="Arial" w:hAnsi="Arial"/>
          <w:sz w:val="17"/>
          <w:szCs w:val="17"/>
          <w:b w:val="1"/>
          <w:bCs w:val="1"/>
          <w:color w:val="auto"/>
        </w:rPr>
        <w:t xml:space="preserve"> </w:t>
      </w:r>
      <w:r>
        <w:rPr>
          <w:rFonts w:ascii="Arial" w:cs="Arial" w:eastAsia="Arial" w:hAnsi="Arial"/>
          <w:sz w:val="17"/>
          <w:szCs w:val="17"/>
          <w:color w:val="auto"/>
        </w:rPr>
        <w:t>repurchase program, which permits the Company to repurchase, in accordance with SEC rules, up to 5 million shares of our</w:t>
      </w:r>
    </w:p>
    <w:p>
      <w:pPr>
        <w:spacing w:after="0" w:line="1" w:lineRule="exact"/>
        <w:rPr>
          <w:sz w:val="20"/>
          <w:szCs w:val="20"/>
          <w:color w:val="auto"/>
        </w:rPr>
      </w:pPr>
    </w:p>
    <w:p>
      <w:pPr>
        <w:ind w:left="980" w:right="60"/>
        <w:spacing w:after="0"/>
        <w:rPr>
          <w:sz w:val="20"/>
          <w:szCs w:val="20"/>
          <w:color w:val="auto"/>
        </w:rPr>
      </w:pPr>
      <w:r>
        <w:rPr>
          <w:rFonts w:ascii="Arial" w:cs="Arial" w:eastAsia="Arial" w:hAnsi="Arial"/>
          <w:sz w:val="17"/>
          <w:szCs w:val="17"/>
          <w:color w:val="auto"/>
        </w:rPr>
        <w:t>outstanding common stock (i) in the open market, (ii) in privately negotiated transactions, or (iii) under Rule 10b5-1 trading plans (the “Share Repurchase Program”). The Board of Directors authorized the Share Repurchase Program on February 11, 2025,</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permitting repurchases through March 31, 2026.</w:t>
      </w:r>
    </w:p>
    <w:p>
      <w:pPr>
        <w:spacing w:after="0" w:line="86" w:lineRule="exact"/>
        <w:rPr>
          <w:sz w:val="20"/>
          <w:szCs w:val="20"/>
          <w:color w:val="auto"/>
        </w:rPr>
      </w:pPr>
    </w:p>
    <w:p>
      <w:pPr>
        <w:ind w:left="980" w:right="120"/>
        <w:spacing w:after="0" w:line="271" w:lineRule="auto"/>
        <w:rPr>
          <w:sz w:val="20"/>
          <w:szCs w:val="20"/>
          <w:color w:val="auto"/>
        </w:rPr>
      </w:pPr>
      <w:r>
        <w:rPr>
          <w:rFonts w:ascii="Arial" w:cs="Arial" w:eastAsia="Arial" w:hAnsi="Arial"/>
          <w:sz w:val="18"/>
          <w:szCs w:val="18"/>
          <w:color w:val="auto"/>
        </w:rPr>
        <w:t>Privately negotiated transactions may include repurchases from employees, officers and directors and repurchases from former partners of Marcum pursuant to the ROFR Agreement, as discussed above.</w:t>
      </w:r>
    </w:p>
    <w:p>
      <w:pPr>
        <w:spacing w:after="0" w:line="46" w:lineRule="exact"/>
        <w:rPr>
          <w:sz w:val="20"/>
          <w:szCs w:val="20"/>
          <w:color w:val="auto"/>
        </w:rPr>
      </w:pPr>
    </w:p>
    <w:p>
      <w:pPr>
        <w:ind w:left="980" w:right="100"/>
        <w:spacing w:after="0" w:line="271" w:lineRule="auto"/>
        <w:rPr>
          <w:sz w:val="20"/>
          <w:szCs w:val="20"/>
          <w:color w:val="auto"/>
        </w:rPr>
      </w:pPr>
      <w:r>
        <w:rPr>
          <w:rFonts w:ascii="Arial" w:cs="Arial" w:eastAsia="Arial" w:hAnsi="Arial"/>
          <w:sz w:val="18"/>
          <w:szCs w:val="18"/>
          <w:color w:val="auto"/>
        </w:rPr>
        <w:t>Refer to Note 14, Common Stock, to the consolidated financial statements contained in our Annual Report on Form 10-K for the year ended December 31, 2024 for more detail about the Share Repurchase Program.</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repurchased 1.4 million shares of our common stock for a total cost of $102.8 million under the ROFR Agreement and</w:t>
      </w:r>
    </w:p>
    <w:p>
      <w:pPr>
        <w:spacing w:after="0" w:line="14" w:lineRule="exact"/>
        <w:rPr>
          <w:sz w:val="20"/>
          <w:szCs w:val="20"/>
          <w:color w:val="auto"/>
        </w:rPr>
      </w:pPr>
    </w:p>
    <w:p>
      <w:pPr>
        <w:ind w:left="980" w:right="40"/>
        <w:spacing w:after="0"/>
        <w:rPr>
          <w:sz w:val="20"/>
          <w:szCs w:val="20"/>
          <w:color w:val="auto"/>
        </w:rPr>
      </w:pPr>
      <w:r>
        <w:rPr>
          <w:rFonts w:ascii="Arial" w:cs="Arial" w:eastAsia="Arial" w:hAnsi="Arial"/>
          <w:sz w:val="18"/>
          <w:szCs w:val="18"/>
          <w:color w:val="auto"/>
        </w:rPr>
        <w:t>0.4 million shares of our common stock in the open market for $ 25.0 million during the nine months ended September 30, 2025. Additionally, to settle statutory employee withholdings related to vesting of stock awards, we repurchased 0.1 million shares of our common stock at a cost of $7.8 million during the nine months ended September 30, 2025 and 0.2 million shares at a cost of $11.4 million during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11. EMPLOYEE STOCK PLANS</w:t>
      </w:r>
    </w:p>
    <w:p>
      <w:pPr>
        <w:spacing w:after="0" w:line="117" w:lineRule="exact"/>
        <w:rPr>
          <w:sz w:val="20"/>
          <w:szCs w:val="20"/>
          <w:color w:val="auto"/>
        </w:rPr>
      </w:pPr>
    </w:p>
    <w:p>
      <w:pPr>
        <w:ind w:left="980"/>
        <w:spacing w:after="0" w:line="255" w:lineRule="auto"/>
        <w:rPr>
          <w:sz w:val="20"/>
          <w:szCs w:val="20"/>
          <w:color w:val="auto"/>
        </w:rPr>
      </w:pPr>
      <w:r>
        <w:rPr>
          <w:rFonts w:ascii="Arial" w:cs="Arial" w:eastAsia="Arial" w:hAnsi="Arial"/>
          <w:sz w:val="18"/>
          <w:szCs w:val="18"/>
          <w:color w:val="auto"/>
        </w:rPr>
        <w:t>On May 10, 2023, the shareholders of the Company approved an amendment to the 2019 Stock Omnibus Incentive Plan (the “2019 Plan”). The amendment added 1.5 million shares to the total number of shares that may be issued under the 2019 Plan. All other aspects of the 2019 Plan remain unchanged. The 2019 Plan, which expires in 2029, permits the grant of various forms of stock-based awards. A maximum of 4.6 million stock options, restricted stock or other stock-based compensation awards may be granted. The terms and vesting schedules for the stock-based awards vary by type and date of grant. Shares subject to award under the 2019 Plan may be either authorized but unissued shares of our common stock or treasury shares. Refer to Note 15, Employee Stock Plans to the consolidated financial statements contained in our Annual Report on Form 10-K for the year ended December 31, 2024 for further discussion on the 2019 Plan.</w:t>
      </w:r>
    </w:p>
    <w:p>
      <w:pPr>
        <w:spacing w:after="0" w:line="77" w:lineRule="exact"/>
        <w:rPr>
          <w:sz w:val="20"/>
          <w:szCs w:val="20"/>
          <w:color w:val="auto"/>
        </w:rPr>
      </w:pPr>
    </w:p>
    <w:p>
      <w:pPr>
        <w:ind w:left="980" w:right="240"/>
        <w:spacing w:after="0" w:line="287" w:lineRule="auto"/>
        <w:rPr>
          <w:sz w:val="20"/>
          <w:szCs w:val="20"/>
          <w:color w:val="auto"/>
        </w:rPr>
      </w:pPr>
      <w:r>
        <w:rPr>
          <w:rFonts w:ascii="Arial" w:cs="Arial" w:eastAsia="Arial" w:hAnsi="Arial"/>
          <w:sz w:val="18"/>
          <w:szCs w:val="18"/>
          <w:color w:val="auto"/>
        </w:rPr>
        <w:t>Compensation expense for stock-based awards recognized during the three and nine months ended September 30, 2025 and 2024 was as follows (in thousands):</w:t>
      </w:r>
    </w:p>
    <w:p>
      <w:pPr>
        <w:spacing w:after="0" w:line="65"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4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3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Pr>
          <w:p>
            <w:pPr>
              <w:spacing w:after="0"/>
              <w:rPr>
                <w:sz w:val="16"/>
                <w:szCs w:val="16"/>
                <w:color w:val="auto"/>
              </w:rPr>
            </w:pPr>
          </w:p>
        </w:tc>
      </w:tr>
      <w:tr>
        <w:trPr>
          <w:trHeight w:val="195"/>
        </w:trPr>
        <w:tc>
          <w:tcPr>
            <w:tcW w:w="37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2024</w:t>
            </w:r>
          </w:p>
        </w:tc>
      </w:tr>
      <w:tr>
        <w:trPr>
          <w:trHeight w:val="224"/>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 and awards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w:t>
            </w:r>
          </w:p>
        </w:tc>
      </w:tr>
      <w:tr>
        <w:trPr>
          <w:trHeight w:val="230"/>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Performance share units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w:t>
            </w: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7,431</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both"/>
        <w:ind w:left="980" w:right="160"/>
        <w:spacing w:after="0" w:line="268" w:lineRule="auto"/>
        <w:rPr>
          <w:sz w:val="20"/>
          <w:szCs w:val="20"/>
          <w:color w:val="auto"/>
        </w:rPr>
      </w:pPr>
      <w:r>
        <w:rPr>
          <w:rFonts w:ascii="Arial" w:cs="Arial" w:eastAsia="Arial" w:hAnsi="Arial"/>
          <w:sz w:val="18"/>
          <w:szCs w:val="18"/>
          <w:b w:val="1"/>
          <w:bCs w:val="1"/>
          <w:color w:val="auto"/>
        </w:rPr>
        <w:t xml:space="preserve">Stock Options and Restricted Stock Units and Awards – </w:t>
      </w:r>
      <w:r>
        <w:rPr>
          <w:rFonts w:ascii="Arial" w:cs="Arial" w:eastAsia="Arial" w:hAnsi="Arial"/>
          <w:sz w:val="18"/>
          <w:szCs w:val="18"/>
          <w:color w:val="auto"/>
        </w:rPr>
        <w:t>The Company did not grant any stock options, nor were any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exercised during the nine months ended September 30, 2025. As of September 30, 2025, we have 150 thousand stock options outstanding with a weighted average exercise price per share of $35.22.</w:t>
      </w:r>
    </w:p>
    <w:p>
      <w:pPr>
        <w:spacing w:after="0" w:line="200" w:lineRule="exact"/>
        <w:rPr>
          <w:sz w:val="20"/>
          <w:szCs w:val="20"/>
          <w:color w:val="auto"/>
        </w:rPr>
      </w:pPr>
    </w:p>
    <w:p>
      <w:pPr>
        <w:spacing w:after="0" w:line="214" w:lineRule="exact"/>
        <w:rPr>
          <w:sz w:val="20"/>
          <w:szCs w:val="20"/>
          <w:color w:val="auto"/>
        </w:rPr>
      </w:pPr>
    </w:p>
    <w:p>
      <w:pPr>
        <w:ind w:left="980" w:right="60"/>
        <w:spacing w:after="0" w:line="287" w:lineRule="auto"/>
        <w:rPr>
          <w:sz w:val="20"/>
          <w:szCs w:val="20"/>
          <w:color w:val="auto"/>
        </w:rPr>
      </w:pPr>
      <w:r>
        <w:rPr>
          <w:rFonts w:ascii="Arial" w:cs="Arial" w:eastAsia="Arial" w:hAnsi="Arial"/>
          <w:sz w:val="18"/>
          <w:szCs w:val="18"/>
          <w:color w:val="auto"/>
        </w:rPr>
        <w:t>The following table presents our restricted stock units and awards activity during the nine months ended September 30, 2025 (in thousands, except per share unit data):</w:t>
      </w:r>
    </w:p>
    <w:p>
      <w:pPr>
        <w:spacing w:after="0" w:line="82"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Restricted Stock Units and Awards</w:t>
      </w:r>
    </w:p>
    <w:p>
      <w:pPr>
        <w:spacing w:after="0" w:line="35" w:lineRule="exact"/>
        <w:rPr>
          <w:sz w:val="20"/>
          <w:szCs w:val="20"/>
          <w:color w:val="auto"/>
        </w:rPr>
      </w:pPr>
    </w:p>
    <w:tbl>
      <w:tblPr>
        <w:tblLayout w:type="fixed"/>
        <w:tblInd w:w="980" w:type="dxa"/>
        <w:tblCellMar>
          <w:top w:w="0" w:type="dxa"/>
          <w:left w:w="0" w:type="dxa"/>
          <w:bottom w:w="0" w:type="dxa"/>
          <w:right w:w="0" w:type="dxa"/>
        </w:tblCellMar>
      </w:tblPr>
      <w:tr>
        <w:trPr>
          <w:trHeight w:val="148"/>
        </w:trPr>
        <w:tc>
          <w:tcPr>
            <w:tcW w:w="580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center"/>
              <w:ind w:right="57"/>
              <w:spacing w:after="0" w:line="149" w:lineRule="exact"/>
              <w:rPr>
                <w:sz w:val="20"/>
                <w:szCs w:val="20"/>
                <w:color w:val="auto"/>
              </w:rPr>
            </w:pPr>
            <w:r>
              <w:rPr>
                <w:rFonts w:ascii="Arial" w:cs="Arial" w:eastAsia="Arial" w:hAnsi="Arial"/>
                <w:sz w:val="14"/>
                <w:szCs w:val="14"/>
                <w:b w:val="1"/>
                <w:bCs w:val="1"/>
                <w:color w:val="auto"/>
              </w:rPr>
              <w:t>Weighted Average</w:t>
            </w:r>
          </w:p>
        </w:tc>
      </w:tr>
      <w:tr>
        <w:trPr>
          <w:trHeight w:val="158"/>
        </w:trPr>
        <w:tc>
          <w:tcPr>
            <w:tcW w:w="5800" w:type="dxa"/>
            <w:vAlign w:val="bottom"/>
          </w:tcPr>
          <w:p>
            <w:pPr>
              <w:spacing w:after="0"/>
              <w:rPr>
                <w:sz w:val="13"/>
                <w:szCs w:val="13"/>
                <w:color w:val="auto"/>
              </w:rPr>
            </w:pPr>
          </w:p>
        </w:tc>
        <w:tc>
          <w:tcPr>
            <w:tcW w:w="1220" w:type="dxa"/>
            <w:vAlign w:val="bottom"/>
          </w:tcPr>
          <w:p>
            <w:pPr>
              <w:jc w:val="center"/>
              <w:ind w:left="388"/>
              <w:spacing w:after="0" w:line="158" w:lineRule="exact"/>
              <w:rPr>
                <w:sz w:val="20"/>
                <w:szCs w:val="20"/>
                <w:color w:val="auto"/>
              </w:rPr>
            </w:pPr>
            <w:r>
              <w:rPr>
                <w:rFonts w:ascii="Arial" w:cs="Arial" w:eastAsia="Arial" w:hAnsi="Arial"/>
                <w:sz w:val="14"/>
                <w:szCs w:val="14"/>
                <w:b w:val="1"/>
                <w:bCs w:val="1"/>
                <w:color w:val="auto"/>
              </w:rPr>
              <w:t>Number of</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37"/>
              <w:spacing w:after="0" w:line="158" w:lineRule="exact"/>
              <w:rPr>
                <w:sz w:val="20"/>
                <w:szCs w:val="20"/>
                <w:color w:val="auto"/>
              </w:rPr>
            </w:pPr>
            <w:r>
              <w:rPr>
                <w:rFonts w:ascii="Arial" w:cs="Arial" w:eastAsia="Arial" w:hAnsi="Arial"/>
                <w:sz w:val="14"/>
                <w:szCs w:val="14"/>
                <w:b w:val="1"/>
                <w:bCs w:val="1"/>
                <w:color w:val="auto"/>
              </w:rPr>
              <w:t>Grant-Date</w:t>
            </w:r>
          </w:p>
        </w:tc>
      </w:tr>
      <w:tr>
        <w:trPr>
          <w:trHeight w:val="189"/>
        </w:trPr>
        <w:tc>
          <w:tcPr>
            <w:tcW w:w="58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rPr>
              <w:t>Shares</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7"/>
              <w:spacing w:after="0" w:line="189" w:lineRule="exact"/>
              <w:rPr>
                <w:sz w:val="20"/>
                <w:szCs w:val="20"/>
                <w:color w:val="auto"/>
              </w:rPr>
            </w:pPr>
            <w:r>
              <w:rPr>
                <w:rFonts w:ascii="Arial" w:cs="Arial" w:eastAsia="Arial" w:hAnsi="Arial"/>
                <w:sz w:val="14"/>
                <w:szCs w:val="14"/>
                <w:b w:val="1"/>
                <w:bCs w:val="1"/>
                <w:color w:val="auto"/>
                <w:w w:val="98"/>
              </w:rPr>
              <w:t xml:space="preserve">Fair Value </w:t>
            </w:r>
            <w:r>
              <w:rPr>
                <w:rFonts w:ascii="Arial" w:cs="Arial" w:eastAsia="Arial" w:hAnsi="Arial"/>
                <w:sz w:val="18"/>
                <w:szCs w:val="18"/>
                <w:b w:val="1"/>
                <w:bCs w:val="1"/>
                <w:color w:val="auto"/>
                <w:w w:val="98"/>
                <w:vertAlign w:val="superscript"/>
              </w:rPr>
              <w:t>(1)</w:t>
            </w: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480" w:type="dxa"/>
            <w:vAlign w:val="bottom"/>
          </w:tcPr>
          <w:p>
            <w:pPr>
              <w:jc w:val="right"/>
              <w:spacing w:after="0"/>
              <w:rPr>
                <w:sz w:val="20"/>
                <w:szCs w:val="20"/>
                <w:color w:val="auto"/>
              </w:rPr>
            </w:pPr>
            <w:r>
              <w:rPr>
                <w:rFonts w:ascii="Arial" w:cs="Arial" w:eastAsia="Arial" w:hAnsi="Arial"/>
                <w:sz w:val="18"/>
                <w:szCs w:val="18"/>
                <w:color w:val="auto"/>
              </w:rPr>
              <w:t>133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80.16</w:t>
            </w: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 or released</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Expired or canceled</w:t>
            </w: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80.59</w:t>
            </w:r>
          </w:p>
        </w:tc>
      </w:tr>
      <w:tr>
        <w:trPr>
          <w:trHeight w:val="248"/>
        </w:trPr>
        <w:tc>
          <w:tcPr>
            <w:tcW w:w="5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2025</w:t>
            </w:r>
          </w:p>
        </w:tc>
        <w:tc>
          <w:tcPr>
            <w:tcW w:w="1220" w:type="dxa"/>
            <w:vAlign w:val="bottom"/>
            <w:tcBorders>
              <w:top w:val="single" w:sz="8" w:color="auto"/>
              <w:bottom w:val="single" w:sz="8" w:color="auto"/>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70.35</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0" w:lineRule="exact"/>
        <w:rPr>
          <w:sz w:val="20"/>
          <w:szCs w:val="20"/>
          <w:color w:val="auto"/>
        </w:rPr>
      </w:pPr>
    </w:p>
    <w:p>
      <w:pPr>
        <w:ind w:left="1780" w:hanging="800"/>
        <w:spacing w:after="0"/>
        <w:tabs>
          <w:tab w:leader="none" w:pos="178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Represents weighted average market value of the shares; awards are granted at no cost to the recipients.</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Performance Share Units (“PSUs”) – </w:t>
      </w:r>
      <w:r>
        <w:rPr>
          <w:rFonts w:ascii="Arial" w:cs="Arial" w:eastAsia="Arial" w:hAnsi="Arial"/>
          <w:sz w:val="18"/>
          <w:szCs w:val="18"/>
          <w:color w:val="auto"/>
        </w:rPr>
        <w:t>PSUs are earned based on our financial performance over a contractual term of three</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years and the associated expense is recognized over that period based on the fair value of the award. A three-year cliff vesting</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schedule of the PSUs is dependent upon the Company’s performance relative to pre-established goals based on an earnings per</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 target (weighted 70%) and total growth in revenue (weighted 30%). The fair value of PSUs is calculated using the market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value of a share of our common stock on the date of grant. For performance achieved above specified levels, the recipient may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earn additional shares of stock, not to exceed 200% of the number of PSUs initially granted. For the PSUs granted in 2025, the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recipients may earn additional shares of stock, not to exceed 300% of the number of PSUs initially granted if performance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achieved above specified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sectPr>
      </w:pPr>
    </w:p>
    <w:bookmarkStart w:id="19" w:name="page20"/>
    <w:bookmarkEnd w:id="19"/>
    <w:p>
      <w:pPr>
        <w:ind w:left="980" w:right="360"/>
        <w:spacing w:after="0" w:line="287" w:lineRule="auto"/>
        <w:rPr>
          <w:sz w:val="20"/>
          <w:szCs w:val="20"/>
          <w:color w:val="auto"/>
        </w:rPr>
      </w:pPr>
      <w:r>
        <w:rPr>
          <w:rFonts w:ascii="Arial" w:cs="Arial" w:eastAsia="Arial" w:hAnsi="Arial"/>
          <w:sz w:val="18"/>
          <w:szCs w:val="18"/>
          <w:color w:val="auto"/>
        </w:rPr>
        <w:t>The following table presents our PSUs activity during the nine months ended September 30, 2025 (in thousands, except per share unit data):</w:t>
      </w:r>
    </w:p>
    <w:p>
      <w:pPr>
        <w:spacing w:after="0" w:line="65"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79"/>
              <w:spacing w:after="0"/>
              <w:rPr>
                <w:sz w:val="20"/>
                <w:szCs w:val="20"/>
                <w:color w:val="auto"/>
              </w:rPr>
            </w:pPr>
            <w:r>
              <w:rPr>
                <w:rFonts w:ascii="Arial" w:cs="Arial" w:eastAsia="Arial" w:hAnsi="Arial"/>
                <w:sz w:val="14"/>
                <w:szCs w:val="14"/>
                <w:b w:val="1"/>
                <w:bCs w:val="1"/>
                <w:color w:val="auto"/>
              </w:rPr>
              <w:t>Weighted</w:t>
            </w:r>
          </w:p>
        </w:tc>
      </w:tr>
      <w:tr>
        <w:trPr>
          <w:trHeight w:val="139"/>
        </w:trPr>
        <w:tc>
          <w:tcPr>
            <w:tcW w:w="58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79"/>
              <w:spacing w:after="0" w:line="139" w:lineRule="exact"/>
              <w:rPr>
                <w:sz w:val="20"/>
                <w:szCs w:val="20"/>
                <w:color w:val="auto"/>
              </w:rPr>
            </w:pPr>
            <w:r>
              <w:rPr>
                <w:rFonts w:ascii="Arial" w:cs="Arial" w:eastAsia="Arial" w:hAnsi="Arial"/>
                <w:sz w:val="14"/>
                <w:szCs w:val="14"/>
                <w:b w:val="1"/>
                <w:bCs w:val="1"/>
                <w:color w:val="auto"/>
              </w:rPr>
              <w:t>Average</w:t>
            </w:r>
          </w:p>
        </w:tc>
      </w:tr>
      <w:tr>
        <w:trPr>
          <w:trHeight w:val="148"/>
        </w:trPr>
        <w:tc>
          <w:tcPr>
            <w:tcW w:w="58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rPr>
              <w:t>Grant-Date</w:t>
            </w:r>
          </w:p>
        </w:tc>
      </w:tr>
      <w:tr>
        <w:trPr>
          <w:trHeight w:val="158"/>
        </w:trPr>
        <w:tc>
          <w:tcPr>
            <w:tcW w:w="5800" w:type="dxa"/>
            <w:vAlign w:val="bottom"/>
          </w:tcPr>
          <w:p>
            <w:pPr>
              <w:spacing w:after="0"/>
              <w:rPr>
                <w:sz w:val="13"/>
                <w:szCs w:val="13"/>
                <w:color w:val="auto"/>
              </w:rPr>
            </w:pPr>
          </w:p>
        </w:tc>
        <w:tc>
          <w:tcPr>
            <w:tcW w:w="1700" w:type="dxa"/>
            <w:vAlign w:val="bottom"/>
          </w:tcPr>
          <w:p>
            <w:pPr>
              <w:jc w:val="right"/>
              <w:ind w:right="335"/>
              <w:spacing w:after="0" w:line="158" w:lineRule="exact"/>
              <w:rPr>
                <w:sz w:val="20"/>
                <w:szCs w:val="20"/>
                <w:color w:val="auto"/>
              </w:rPr>
            </w:pPr>
            <w:r>
              <w:rPr>
                <w:rFonts w:ascii="Arial" w:cs="Arial" w:eastAsia="Arial" w:hAnsi="Arial"/>
                <w:sz w:val="14"/>
                <w:szCs w:val="14"/>
                <w:b w:val="1"/>
                <w:bCs w:val="1"/>
                <w:color w:val="auto"/>
              </w:rPr>
              <w:t>Performance</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179"/>
              <w:spacing w:after="0" w:line="158" w:lineRule="exact"/>
              <w:rPr>
                <w:sz w:val="20"/>
                <w:szCs w:val="20"/>
                <w:color w:val="auto"/>
              </w:rPr>
            </w:pPr>
            <w:r>
              <w:rPr>
                <w:rFonts w:ascii="Arial" w:cs="Arial" w:eastAsia="Arial" w:hAnsi="Arial"/>
                <w:sz w:val="14"/>
                <w:szCs w:val="14"/>
                <w:b w:val="1"/>
                <w:bCs w:val="1"/>
                <w:color w:val="auto"/>
              </w:rPr>
              <w:t>Fair Value</w:t>
            </w:r>
          </w:p>
        </w:tc>
      </w:tr>
      <w:tr>
        <w:trPr>
          <w:trHeight w:val="189"/>
        </w:trPr>
        <w:tc>
          <w:tcPr>
            <w:tcW w:w="58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 xml:space="preserve">Per Unit </w:t>
            </w:r>
            <w:r>
              <w:rPr>
                <w:rFonts w:ascii="Arial" w:cs="Arial" w:eastAsia="Arial" w:hAnsi="Arial"/>
                <w:sz w:val="9"/>
                <w:szCs w:val="9"/>
                <w:b w:val="1"/>
                <w:bCs w:val="1"/>
                <w:color w:val="auto"/>
              </w:rPr>
              <w:t>(1)</w:t>
            </w: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spacing w:after="0"/>
              <w:rPr>
                <w:sz w:val="20"/>
                <w:szCs w:val="20"/>
                <w:color w:val="auto"/>
              </w:rPr>
            </w:pPr>
            <w:r>
              <w:rPr>
                <w:rFonts w:ascii="Arial" w:cs="Arial" w:eastAsia="Arial" w:hAnsi="Arial"/>
                <w:sz w:val="18"/>
                <w:szCs w:val="18"/>
                <w:color w:val="auto"/>
              </w:rPr>
              <w:t>81</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84.67</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w:t>
            </w:r>
          </w:p>
        </w:tc>
      </w:tr>
      <w:tr>
        <w:trPr>
          <w:trHeight w:val="229"/>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 for performance results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6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49.49</w:t>
            </w:r>
          </w:p>
        </w:tc>
      </w:tr>
      <w:tr>
        <w:trPr>
          <w:trHeight w:val="248"/>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2025</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63.99</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131" w:lineRule="exact"/>
        <w:rPr>
          <w:sz w:val="20"/>
          <w:szCs w:val="20"/>
          <w:color w:val="auto"/>
        </w:rPr>
      </w:pPr>
    </w:p>
    <w:p>
      <w:pPr>
        <w:ind w:left="1780" w:hanging="800"/>
        <w:spacing w:after="0"/>
        <w:tabs>
          <w:tab w:leader="none" w:pos="178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Represents weighted average market value of the PSUs; PSUs are granted at no cost to the recipients.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EARNINGS PER SHARE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sets forth the computation of basic and diluted earnings per share for the three and nine months ended</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September 30, 2025 and 2024 (in thousands, except per share data):</w:t>
      </w:r>
    </w:p>
    <w:p>
      <w:pPr>
        <w:spacing w:after="0" w:line="11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8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2024</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344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income</w:t>
            </w:r>
          </w:p>
        </w:tc>
        <w:tc>
          <w:tcPr>
            <w:tcW w:w="2480" w:type="dxa"/>
            <w:vAlign w:val="bottom"/>
            <w:tcBorders>
              <w:top w:val="single" w:sz="8" w:color="CCEEFF"/>
            </w:tcBorders>
            <w:gridSpan w:val="2"/>
          </w:tcPr>
          <w:p>
            <w:pPr>
              <w:spacing w:after="0"/>
              <w:rPr>
                <w:sz w:val="19"/>
                <w:szCs w:val="19"/>
                <w:color w:val="auto"/>
              </w:rPr>
            </w:pPr>
          </w:p>
        </w:tc>
        <w:tc>
          <w:tcPr>
            <w:tcW w:w="360" w:type="dxa"/>
            <w:vAlign w:val="bottom"/>
            <w:tcBorders>
              <w:top w:val="single" w:sz="8" w:color="CCEEFF"/>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30,146</w:t>
            </w:r>
          </w:p>
        </w:tc>
        <w:tc>
          <w:tcPr>
            <w:tcW w:w="100" w:type="dxa"/>
            <w:vAlign w:val="bottom"/>
            <w:tcBorders>
              <w:top w:val="single" w:sz="8" w:color="CCEEFF"/>
            </w:tcBorders>
          </w:tcPr>
          <w:p>
            <w:pPr>
              <w:spacing w:after="0"/>
              <w:rPr>
                <w:sz w:val="19"/>
                <w:szCs w:val="19"/>
                <w:color w:val="auto"/>
              </w:rPr>
            </w:pPr>
          </w:p>
        </w:tc>
        <w:tc>
          <w:tcPr>
            <w:tcW w:w="520" w:type="dxa"/>
            <w:vAlign w:val="bottom"/>
            <w:tcBorders>
              <w:top w:val="single" w:sz="8" w:color="CCEEFF"/>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35,084</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194,861</w:t>
            </w:r>
          </w:p>
        </w:tc>
        <w:tc>
          <w:tcPr>
            <w:tcW w:w="120" w:type="dxa"/>
            <w:vAlign w:val="bottom"/>
            <w:tcBorders>
              <w:top w:val="single" w:sz="8" w:color="CCEEFF"/>
            </w:tcBorders>
          </w:tcPr>
          <w:p>
            <w:pPr>
              <w:spacing w:after="0"/>
              <w:rPr>
                <w:sz w:val="19"/>
                <w:szCs w:val="19"/>
                <w:color w:val="auto"/>
              </w:rPr>
            </w:pPr>
          </w:p>
        </w:tc>
        <w:tc>
          <w:tcPr>
            <w:tcW w:w="440" w:type="dxa"/>
            <w:vAlign w:val="bottom"/>
            <w:tcBorders>
              <w:top w:val="single" w:sz="8" w:color="CCEEFF"/>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131,761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44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Basic</w:t>
            </w:r>
          </w:p>
        </w:tc>
        <w:tc>
          <w:tcPr>
            <w:tcW w:w="22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44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Weighted average common shares</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62,360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50,145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63,243</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50,101</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440" w:type="dxa"/>
            <w:vAlign w:val="bottom"/>
            <w:gridSpan w:val="3"/>
            <w:shd w:val="clear" w:color="auto" w:fill="CCEEFF"/>
          </w:tcPr>
          <w:p>
            <w:pPr>
              <w:ind w:left="160"/>
              <w:spacing w:after="0" w:line="237" w:lineRule="exact"/>
              <w:rPr>
                <w:sz w:val="20"/>
                <w:szCs w:val="20"/>
                <w:color w:val="auto"/>
              </w:rPr>
            </w:pPr>
            <w:r>
              <w:rPr>
                <w:rFonts w:ascii="Arial" w:cs="Arial" w:eastAsia="Arial" w:hAnsi="Arial"/>
                <w:sz w:val="18"/>
                <w:szCs w:val="18"/>
                <w:color w:val="auto"/>
              </w:rPr>
              <w:t xml:space="preserve">outstanding </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Diluted</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Stock options </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Restricted stock units and awards </w:t>
            </w:r>
            <w:r>
              <w:rPr>
                <w:rFonts w:ascii="Arial" w:cs="Arial" w:eastAsia="Arial" w:hAnsi="Arial"/>
                <w:sz w:val="23"/>
                <w:szCs w:val="23"/>
                <w:color w:val="auto"/>
                <w:vertAlign w:val="superscript"/>
              </w:rPr>
              <w:t>(2)</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Performance share units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3"/>
          </w:tcPr>
          <w:p>
            <w:pPr>
              <w:spacing w:after="0" w:line="230" w:lineRule="exact"/>
              <w:rPr>
                <w:sz w:val="20"/>
                <w:szCs w:val="20"/>
                <w:color w:val="auto"/>
              </w:rPr>
            </w:pPr>
            <w:r>
              <w:rPr>
                <w:rFonts w:ascii="Arial" w:cs="Arial" w:eastAsia="Arial" w:hAnsi="Arial"/>
                <w:sz w:val="18"/>
                <w:szCs w:val="18"/>
                <w:color w:val="auto"/>
              </w:rPr>
              <w:t xml:space="preserve">Contingent shares </w:t>
            </w:r>
            <w:r>
              <w:rPr>
                <w:rFonts w:ascii="Arial" w:cs="Arial" w:eastAsia="Arial" w:hAnsi="Arial"/>
                <w:sz w:val="23"/>
                <w:szCs w:val="23"/>
                <w:color w:val="auto"/>
                <w:vertAlign w:val="superscript"/>
              </w:rPr>
              <w:t>(3)</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240"/>
              <w:spacing w:after="0" w:line="161" w:lineRule="exact"/>
              <w:rPr>
                <w:sz w:val="20"/>
                <w:szCs w:val="20"/>
                <w:color w:val="auto"/>
              </w:rPr>
            </w:pPr>
            <w:r>
              <w:rPr>
                <w:rFonts w:ascii="Arial" w:cs="Arial" w:eastAsia="Arial" w:hAnsi="Arial"/>
                <w:sz w:val="18"/>
                <w:szCs w:val="18"/>
                <w:color w:val="auto"/>
              </w:rPr>
              <w:t>Diluted weighted average common</w:t>
            </w:r>
          </w:p>
        </w:tc>
        <w:tc>
          <w:tcPr>
            <w:tcW w:w="3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62,699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50,401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63,609</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50,359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440" w:type="dxa"/>
            <w:vAlign w:val="bottom"/>
            <w:tcBorders>
              <w:bottom w:val="single" w:sz="8" w:color="CCEEFF"/>
            </w:tcBorders>
            <w:gridSpan w:val="3"/>
            <w:shd w:val="clear" w:color="auto" w:fill="CCEEFF"/>
          </w:tcPr>
          <w:p>
            <w:pPr>
              <w:ind w:left="240"/>
              <w:spacing w:after="0" w:line="210" w:lineRule="exact"/>
              <w:rPr>
                <w:sz w:val="20"/>
                <w:szCs w:val="20"/>
                <w:color w:val="auto"/>
              </w:rPr>
            </w:pPr>
            <w:r>
              <w:rPr>
                <w:rFonts w:ascii="Arial" w:cs="Arial" w:eastAsia="Arial" w:hAnsi="Arial"/>
                <w:sz w:val="18"/>
                <w:szCs w:val="18"/>
                <w:color w:val="auto"/>
              </w:rPr>
              <w:t xml:space="preserve">shares outstanding </w:t>
            </w:r>
            <w:r>
              <w:rPr>
                <w:rFonts w:ascii="Arial" w:cs="Arial" w:eastAsia="Arial" w:hAnsi="Arial"/>
                <w:sz w:val="23"/>
                <w:szCs w:val="23"/>
                <w:color w:val="auto"/>
                <w:vertAlign w:val="superscript"/>
              </w:rPr>
              <w:t>(4)</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4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Basic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3440" w:type="dxa"/>
            <w:vAlign w:val="bottom"/>
            <w:gridSpan w:val="3"/>
            <w:vMerge w:val="continue"/>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0.48</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3.08</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998" w:right="399" w:bottom="1440" w:gutter="0" w:footer="0" w:header="0"/>
        </w:sectPr>
      </w:pPr>
    </w:p>
    <w:p>
      <w:pPr>
        <w:spacing w:after="0" w:line="116" w:lineRule="exact"/>
        <w:rPr>
          <w:sz w:val="20"/>
          <w:szCs w:val="20"/>
          <w:color w:val="auto"/>
        </w:rPr>
      </w:pPr>
    </w:p>
    <w:p>
      <w:pPr>
        <w:ind w:left="980"/>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ind w:left="980"/>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80"/>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ind w:left="980"/>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60" w:hanging="5"/>
        <w:spacing w:after="0" w:line="287" w:lineRule="auto"/>
        <w:rPr>
          <w:sz w:val="20"/>
          <w:szCs w:val="20"/>
          <w:color w:val="auto"/>
        </w:rPr>
      </w:pPr>
      <w:r>
        <w:rPr>
          <w:rFonts w:ascii="Arial" w:cs="Arial" w:eastAsia="Arial" w:hAnsi="Arial"/>
          <w:sz w:val="18"/>
          <w:szCs w:val="18"/>
          <w:color w:val="auto"/>
        </w:rPr>
        <w:t>A total of 13.6 million shares that were issued as consideration in connection with the Transaction are included for the three and nine months ended September 30, 2025. Refer to Note 3, Business Combinations for more detail.</w:t>
      </w:r>
    </w:p>
    <w:p>
      <w:pPr>
        <w:spacing w:after="0" w:line="45" w:lineRule="exact"/>
        <w:rPr>
          <w:sz w:val="20"/>
          <w:szCs w:val="20"/>
          <w:color w:val="auto"/>
        </w:rPr>
      </w:pPr>
    </w:p>
    <w:p>
      <w:pPr>
        <w:ind w:right="80" w:hanging="5"/>
        <w:spacing w:after="0" w:line="259" w:lineRule="auto"/>
        <w:rPr>
          <w:sz w:val="20"/>
          <w:szCs w:val="20"/>
          <w:color w:val="auto"/>
        </w:rPr>
      </w:pPr>
      <w:r>
        <w:rPr>
          <w:rFonts w:ascii="Arial" w:cs="Arial" w:eastAsia="Arial" w:hAnsi="Arial"/>
          <w:sz w:val="18"/>
          <w:szCs w:val="18"/>
          <w:color w:val="auto"/>
        </w:rPr>
        <w:t>A total of 103 thousand and 73 thousand shares of stock-based awards were excluded from the calculation of diluted earnings per share for the three and nine months ended September 30, 2025, respectively, as their effect would be anti-dilutive. A total of 8 thousand and 49 thousand shares of stock-based awards were excluded from the calculation of diluted earnings per share for the three and nine months ended September 30, 2024, respectively, as their effect would be anti-dilutive.</w:t>
      </w:r>
    </w:p>
    <w:p>
      <w:pPr>
        <w:spacing w:after="0" w:line="71" w:lineRule="exact"/>
        <w:rPr>
          <w:sz w:val="20"/>
          <w:szCs w:val="20"/>
          <w:color w:val="auto"/>
        </w:rPr>
      </w:pPr>
    </w:p>
    <w:p>
      <w:pPr>
        <w:ind w:hanging="5"/>
        <w:spacing w:after="0" w:line="287" w:lineRule="auto"/>
        <w:rPr>
          <w:sz w:val="20"/>
          <w:szCs w:val="20"/>
          <w:color w:val="auto"/>
        </w:rPr>
      </w:pPr>
      <w:r>
        <w:rPr>
          <w:rFonts w:ascii="Arial" w:cs="Arial" w:eastAsia="Arial" w:hAnsi="Arial"/>
          <w:sz w:val="18"/>
          <w:szCs w:val="18"/>
          <w:color w:val="auto"/>
        </w:rPr>
        <w:t>Contingent shares represent additional shares to be issued for purchase price earned by former owners of businesses acquired by us once future conditions have been met.</w:t>
      </w:r>
    </w:p>
    <w:p>
      <w:pPr>
        <w:spacing w:after="0" w:line="45" w:lineRule="exact"/>
        <w:rPr>
          <w:sz w:val="20"/>
          <w:szCs w:val="20"/>
          <w:color w:val="auto"/>
        </w:rPr>
      </w:pPr>
    </w:p>
    <w:p>
      <w:pPr>
        <w:ind w:right="100" w:hanging="5"/>
        <w:spacing w:after="0" w:line="262" w:lineRule="auto"/>
        <w:rPr>
          <w:sz w:val="20"/>
          <w:szCs w:val="20"/>
          <w:color w:val="auto"/>
        </w:rPr>
      </w:pPr>
      <w:r>
        <w:rPr>
          <w:rFonts w:ascii="Arial" w:cs="Arial" w:eastAsia="Arial" w:hAnsi="Arial"/>
          <w:sz w:val="18"/>
          <w:szCs w:val="18"/>
          <w:color w:val="auto"/>
        </w:rPr>
        <w:t>The denominator used in calculating diluted earnings per share did not include 151 thousand PSUs for both the three and nine months ended September 30, 2025. The denominator used in calculating diluted earnings per share did not include 158 thousand PSUs for both the three and nine months ended September 30, 2024. The performance conditions associated with</w:t>
      </w:r>
    </w:p>
    <w:p>
      <w:pPr>
        <w:spacing w:after="0" w:line="200" w:lineRule="exact"/>
        <w:rPr>
          <w:sz w:val="20"/>
          <w:szCs w:val="20"/>
          <w:color w:val="auto"/>
        </w:rPr>
      </w:pPr>
    </w:p>
    <w:p>
      <w:pPr>
        <w:sectPr>
          <w:pgSz w:w="11900" w:h="16838" w:orient="portrait"/>
          <w:cols w:equalWidth="0" w:num="2">
            <w:col w:w="1120" w:space="680"/>
            <w:col w:w="9380"/>
          </w:cols>
          <w:pgMar w:left="320" w:top="998" w:right="399" w:bottom="1440" w:gutter="0" w:footer="0" w:header="0"/>
          <w:type w:val="continuous"/>
        </w:sectPr>
      </w:pPr>
    </w:p>
    <w:p>
      <w:pPr>
        <w:spacing w:after="0" w:line="3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type w:val="continuous"/>
        </w:sectPr>
      </w:pPr>
    </w:p>
    <w:bookmarkStart w:id="20" w:name="page21"/>
    <w:bookmarkEnd w:id="20"/>
    <w:p>
      <w:pPr>
        <w:ind w:left="1800" w:right="220"/>
        <w:spacing w:after="0" w:line="287" w:lineRule="auto"/>
        <w:rPr>
          <w:sz w:val="20"/>
          <w:szCs w:val="20"/>
          <w:color w:val="auto"/>
        </w:rPr>
      </w:pPr>
      <w:r>
        <w:rPr>
          <w:rFonts w:ascii="Arial" w:cs="Arial" w:eastAsia="Arial" w:hAnsi="Arial"/>
          <w:sz w:val="18"/>
          <w:szCs w:val="18"/>
          <w:color w:val="auto"/>
        </w:rPr>
        <w:t>these PSUs were not met and consequently none of these PSUs were considered as issuable for the three and nine months ended September 30, 2025 and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DISCLOSURES</w:t>
      </w:r>
    </w:p>
    <w:p>
      <w:pPr>
        <w:spacing w:after="0" w:line="117" w:lineRule="exact"/>
        <w:rPr>
          <w:sz w:val="20"/>
          <w:szCs w:val="20"/>
          <w:color w:val="auto"/>
        </w:rPr>
      </w:pPr>
    </w:p>
    <w:p>
      <w:pPr>
        <w:ind w:left="980" w:right="120"/>
        <w:spacing w:after="0" w:line="257" w:lineRule="auto"/>
        <w:rPr>
          <w:sz w:val="20"/>
          <w:szCs w:val="20"/>
          <w:color w:val="auto"/>
        </w:rPr>
      </w:pPr>
      <w:r>
        <w:rPr>
          <w:rFonts w:ascii="Arial" w:cs="Arial" w:eastAsia="Arial" w:hAnsi="Arial"/>
          <w:sz w:val="18"/>
          <w:szCs w:val="18"/>
          <w:color w:val="auto"/>
        </w:rPr>
        <w:t>Our business units have been aggregated into three practice groups: Financial Services, Benefits and Insurance Services, and National Practices. The business units have been aggregated based on the following factors: similarity of the products and services provided to clients; similarity of the regulatory environment in which they operate; and similarity of economic conditions affecting long-term performance. The business units are managed along these segment lines. Refer to Note 19, Segment Disclosure, to the consolidated financial statements contained in our Annual Report on Form 10-K for the year ended December 31, 2024 for further discussion on the segment lines.</w:t>
      </w:r>
    </w:p>
    <w:p>
      <w:pPr>
        <w:spacing w:after="0" w:line="74" w:lineRule="exact"/>
        <w:rPr>
          <w:sz w:val="20"/>
          <w:szCs w:val="20"/>
          <w:color w:val="auto"/>
        </w:rPr>
      </w:pPr>
    </w:p>
    <w:p>
      <w:pPr>
        <w:ind w:left="980" w:right="260"/>
        <w:spacing w:after="0" w:line="262" w:lineRule="auto"/>
        <w:rPr>
          <w:sz w:val="20"/>
          <w:szCs w:val="20"/>
          <w:color w:val="auto"/>
        </w:rPr>
      </w:pPr>
      <w:r>
        <w:rPr>
          <w:rFonts w:ascii="Arial" w:cs="Arial" w:eastAsia="Arial" w:hAnsi="Arial"/>
          <w:sz w:val="18"/>
          <w:szCs w:val="18"/>
          <w:i w:val="1"/>
          <w:iCs w:val="1"/>
          <w:color w:val="auto"/>
        </w:rPr>
        <w:t xml:space="preserve">Corporate and Other - </w:t>
      </w:r>
      <w:r>
        <w:rPr>
          <w:rFonts w:ascii="Arial" w:cs="Arial" w:eastAsia="Arial" w:hAnsi="Arial"/>
          <w:sz w:val="18"/>
          <w:szCs w:val="18"/>
          <w:color w:val="auto"/>
        </w:rPr>
        <w:t>Included in Corporate and Other are operating expenses that are not directly allocated to the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units. These expenses primarily consist of certain health care costs, gains or losses attributable to assets held in our non-qualified deferred compensation plan, stock-based compensation, consolidation and integration charges, certain professional fees, certain advertising costs, and other various expenses.</w:t>
      </w:r>
    </w:p>
    <w:p>
      <w:pPr>
        <w:spacing w:after="0" w:line="68" w:lineRule="exact"/>
        <w:rPr>
          <w:sz w:val="20"/>
          <w:szCs w:val="20"/>
          <w:color w:val="auto"/>
        </w:rPr>
      </w:pPr>
    </w:p>
    <w:p>
      <w:pPr>
        <w:ind w:left="980" w:right="260"/>
        <w:spacing w:after="0" w:line="259" w:lineRule="auto"/>
        <w:rPr>
          <w:sz w:val="20"/>
          <w:szCs w:val="20"/>
          <w:color w:val="auto"/>
        </w:rPr>
      </w:pPr>
      <w:r>
        <w:rPr>
          <w:rFonts w:ascii="Arial" w:cs="Arial" w:eastAsia="Arial" w:hAnsi="Arial"/>
          <w:sz w:val="18"/>
          <w:szCs w:val="18"/>
          <w:color w:val="auto"/>
        </w:rPr>
        <w:t>Accounting policies of the practice groups are the same as those described in Note 1, Basis of Presentation and Significant Accounting Policies, to the Annual Report on Form 10-K for the year ended December 31, 2024. Upon consolidation, intercompany accounts and transactions are eliminated, thus inter-segment revenue is not included in the measure of profit or loss for the practice groups. Performance of the practice groups is evaluated on income (loss) before income tax expense (benefit) excluding those costs listed above, which are reported in “Corporate and Other”.</w:t>
      </w:r>
    </w:p>
    <w:p>
      <w:pPr>
        <w:spacing w:after="0" w:line="179" w:lineRule="exact"/>
        <w:rPr>
          <w:sz w:val="20"/>
          <w:szCs w:val="20"/>
          <w:color w:val="auto"/>
        </w:rPr>
      </w:pPr>
    </w:p>
    <w:p>
      <w:pPr>
        <w:ind w:left="980"/>
        <w:spacing w:after="0" w:line="262" w:lineRule="auto"/>
        <w:rPr>
          <w:sz w:val="20"/>
          <w:szCs w:val="20"/>
          <w:color w:val="auto"/>
        </w:rPr>
      </w:pPr>
      <w:r>
        <w:rPr>
          <w:rFonts w:ascii="Arial" w:cs="Arial" w:eastAsia="Arial" w:hAnsi="Arial"/>
          <w:sz w:val="18"/>
          <w:szCs w:val="18"/>
          <w:color w:val="auto"/>
        </w:rPr>
        <w:t>The practice groups respective revenue and pre-tax income, significant segment expenses, and a reconciliation of segment profit or loss measure to the consolidated income before income tax expense for the three and nine months ended September 30, 2025 and 2024 is presented below. We do not manage our assets on a segment basis, therefore segment assets are not presented below.</w:t>
      </w:r>
    </w:p>
    <w:p>
      <w:pPr>
        <w:spacing w:after="0" w:line="200" w:lineRule="exact"/>
        <w:rPr>
          <w:sz w:val="20"/>
          <w:szCs w:val="20"/>
          <w:color w:val="auto"/>
        </w:rPr>
      </w:pPr>
    </w:p>
    <w:p>
      <w:pPr>
        <w:spacing w:after="0" w:line="21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Segment information for the three and nine months ended September 30, 2025 and 2024 was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6"/>
                <w:szCs w:val="16"/>
                <w:b w:val="1"/>
                <w:bCs w:val="1"/>
                <w:color w:val="auto"/>
              </w:rPr>
              <w:t>Three Months Ended September 30, 2025</w:t>
            </w:r>
          </w:p>
        </w:tc>
        <w:tc>
          <w:tcPr>
            <w:tcW w:w="880" w:type="dxa"/>
            <w:vAlign w:val="bottom"/>
            <w:tcBorders>
              <w:bottom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Financial</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Benefits and</w:t>
            </w:r>
          </w:p>
        </w:tc>
        <w:tc>
          <w:tcPr>
            <w:tcW w:w="200" w:type="dxa"/>
            <w:vAlign w:val="bottom"/>
          </w:tcPr>
          <w:p>
            <w:pPr>
              <w:spacing w:after="0"/>
              <w:rPr>
                <w:sz w:val="16"/>
                <w:szCs w:val="16"/>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National</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Insurance</w:t>
            </w: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Practices</w:t>
            </w:r>
          </w:p>
        </w:tc>
        <w:tc>
          <w:tcPr>
            <w:tcW w:w="32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1"/>
        </w:trPr>
        <w:tc>
          <w:tcPr>
            <w:tcW w:w="860" w:type="dxa"/>
            <w:vAlign w:val="bottom"/>
          </w:tcPr>
          <w:p>
            <w:pPr>
              <w:spacing w:after="0"/>
              <w:rPr>
                <w:sz w:val="21"/>
                <w:szCs w:val="21"/>
                <w:color w:val="auto"/>
              </w:rPr>
            </w:pPr>
          </w:p>
        </w:tc>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external customers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578,522</w:t>
            </w:r>
          </w:p>
        </w:tc>
        <w:tc>
          <w:tcPr>
            <w:tcW w:w="1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103,387</w:t>
            </w:r>
          </w:p>
        </w:tc>
        <w:tc>
          <w:tcPr>
            <w:tcW w:w="10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11,909</w:t>
            </w:r>
          </w:p>
        </w:tc>
        <w:tc>
          <w:tcPr>
            <w:tcW w:w="8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693,818</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6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Significant expenses:</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Personnel costs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381,106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65,222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10,560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456,888</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4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Facility costs</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26,158</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4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 xml:space="preserve">Other costs, gains, and losses, net </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80,417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95,015</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 expense</w:t>
            </w: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484,460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84,040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9,561</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578,061</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Segment income before income tax expense</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94,062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19,347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2,348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115,757</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4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Corporate &amp; other:</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60" w:type="dxa"/>
            <w:vAlign w:val="bottom"/>
          </w:tcPr>
          <w:p>
            <w:pPr>
              <w:spacing w:after="0"/>
              <w:rPr>
                <w:sz w:val="24"/>
                <w:szCs w:val="24"/>
                <w:color w:val="auto"/>
              </w:rPr>
            </w:pPr>
          </w:p>
        </w:tc>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Unallocated corporate operating expenses</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General &amp; administrative expenses</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31,265</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27,960</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4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(8,955)</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86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income before 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40,406</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ind w:right="635"/>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8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6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7"/>
        </w:trPr>
        <w:tc>
          <w:tcPr>
            <w:tcW w:w="4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6"/>
                <w:szCs w:val="16"/>
                <w:b w:val="1"/>
                <w:bCs w:val="1"/>
                <w:color w:val="auto"/>
              </w:rPr>
              <w:t>Three Months Ended September 30, 2024</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Financial</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Benefits and</w:t>
            </w:r>
          </w:p>
        </w:tc>
        <w:tc>
          <w:tcPr>
            <w:tcW w:w="200" w:type="dxa"/>
            <w:vAlign w:val="bottom"/>
          </w:tcPr>
          <w:p>
            <w:pPr>
              <w:spacing w:after="0"/>
              <w:rPr>
                <w:sz w:val="16"/>
                <w:szCs w:val="16"/>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National</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Insurance</w:t>
            </w: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Services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Services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Practices</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1"/>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external customers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322,295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104,040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12,549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438,884</w:t>
            </w:r>
          </w:p>
        </w:tc>
        <w:tc>
          <w:tcPr>
            <w:tcW w:w="0" w:type="dxa"/>
            <w:vAlign w:val="bottom"/>
          </w:tcPr>
          <w:p>
            <w:pPr>
              <w:spacing w:after="0"/>
              <w:rPr>
                <w:sz w:val="1"/>
                <w:szCs w:val="1"/>
                <w:color w:val="auto"/>
              </w:rPr>
            </w:pPr>
          </w:p>
        </w:tc>
      </w:tr>
      <w:tr>
        <w:trPr>
          <w:trHeight w:val="257"/>
        </w:trPr>
        <w:tc>
          <w:tcPr>
            <w:tcW w:w="4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Significant expenses:</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240"/>
              <w:spacing w:after="0"/>
              <w:rPr>
                <w:sz w:val="20"/>
                <w:szCs w:val="20"/>
                <w:color w:val="auto"/>
              </w:rPr>
            </w:pPr>
            <w:r>
              <w:rPr>
                <w:rFonts w:ascii="Arial" w:cs="Arial" w:eastAsia="Arial" w:hAnsi="Arial"/>
                <w:sz w:val="18"/>
                <w:szCs w:val="18"/>
                <w:color w:val="auto"/>
              </w:rPr>
              <w:t>Personnel costs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210,418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64,855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10,643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285,916</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Facility costs</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15,114</w:t>
            </w:r>
          </w:p>
        </w:tc>
        <w:tc>
          <w:tcPr>
            <w:tcW w:w="0" w:type="dxa"/>
            <w:vAlign w:val="bottom"/>
          </w:tcPr>
          <w:p>
            <w:pPr>
              <w:spacing w:after="0"/>
              <w:rPr>
                <w:sz w:val="1"/>
                <w:szCs w:val="1"/>
                <w:color w:val="auto"/>
              </w:rPr>
            </w:pPr>
          </w:p>
        </w:tc>
      </w:tr>
      <w:tr>
        <w:trPr>
          <w:trHeight w:val="270"/>
        </w:trPr>
        <w:tc>
          <w:tcPr>
            <w:tcW w:w="4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 xml:space="preserve">Other costs, gains, and losses, net </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w:t>
            </w: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48,705</w:t>
            </w:r>
          </w:p>
        </w:tc>
        <w:tc>
          <w:tcPr>
            <w:tcW w:w="0" w:type="dxa"/>
            <w:vAlign w:val="bottom"/>
          </w:tcPr>
          <w:p>
            <w:pPr>
              <w:spacing w:after="0"/>
              <w:rPr>
                <w:sz w:val="1"/>
                <w:szCs w:val="1"/>
                <w:color w:val="auto"/>
              </w:rPr>
            </w:pPr>
          </w:p>
        </w:tc>
      </w:tr>
      <w:tr>
        <w:trPr>
          <w:trHeight w:val="25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 expense</w:t>
            </w: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260,624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82,963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349,735</w:t>
            </w:r>
          </w:p>
        </w:tc>
        <w:tc>
          <w:tcPr>
            <w:tcW w:w="0" w:type="dxa"/>
            <w:vAlign w:val="bottom"/>
          </w:tcPr>
          <w:p>
            <w:pPr>
              <w:spacing w:after="0"/>
              <w:rPr>
                <w:sz w:val="1"/>
                <w:szCs w:val="1"/>
                <w:color w:val="auto"/>
              </w:rPr>
            </w:pPr>
          </w:p>
        </w:tc>
      </w:tr>
      <w:tr>
        <w:trPr>
          <w:trHeight w:val="250"/>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Segment income before income tax expense</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61,671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21,077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6,401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89,149</w:t>
            </w:r>
          </w:p>
        </w:tc>
        <w:tc>
          <w:tcPr>
            <w:tcW w:w="0" w:type="dxa"/>
            <w:vAlign w:val="bottom"/>
          </w:tcPr>
          <w:p>
            <w:pPr>
              <w:spacing w:after="0"/>
              <w:rPr>
                <w:sz w:val="1"/>
                <w:szCs w:val="1"/>
                <w:color w:val="auto"/>
              </w:rPr>
            </w:pPr>
          </w:p>
        </w:tc>
      </w:tr>
      <w:tr>
        <w:trPr>
          <w:trHeight w:val="162"/>
        </w:trPr>
        <w:tc>
          <w:tcPr>
            <w:tcW w:w="4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Corporate &amp; other:</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Unallocated corporate operating expenses</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11,266</w:t>
            </w:r>
          </w:p>
        </w:tc>
        <w:tc>
          <w:tcPr>
            <w:tcW w:w="0" w:type="dxa"/>
            <w:vAlign w:val="bottom"/>
          </w:tcPr>
          <w:p>
            <w:pPr>
              <w:spacing w:after="0"/>
              <w:rPr>
                <w:sz w:val="1"/>
                <w:szCs w:val="1"/>
                <w:color w:val="auto"/>
              </w:rPr>
            </w:pPr>
          </w:p>
        </w:tc>
      </w:tr>
      <w:tr>
        <w:trPr>
          <w:trHeight w:val="270"/>
        </w:trPr>
        <w:tc>
          <w:tcPr>
            <w:tcW w:w="4340" w:type="dxa"/>
            <w:vAlign w:val="bottom"/>
          </w:tcPr>
          <w:p>
            <w:pPr>
              <w:ind w:left="220"/>
              <w:spacing w:after="0"/>
              <w:rPr>
                <w:sz w:val="20"/>
                <w:szCs w:val="20"/>
                <w:color w:val="auto"/>
              </w:rPr>
            </w:pPr>
            <w:r>
              <w:rPr>
                <w:rFonts w:ascii="Arial" w:cs="Arial" w:eastAsia="Arial" w:hAnsi="Arial"/>
                <w:sz w:val="18"/>
                <w:szCs w:val="18"/>
                <w:color w:val="auto"/>
              </w:rPr>
              <w:t>General &amp; administrative expenses</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23,227</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0" w:type="dxa"/>
            <w:vAlign w:val="bottom"/>
          </w:tcPr>
          <w:p>
            <w:pPr>
              <w:spacing w:after="0"/>
              <w:rPr>
                <w:sz w:val="1"/>
                <w:szCs w:val="1"/>
                <w:color w:val="auto"/>
              </w:rPr>
            </w:pPr>
          </w:p>
        </w:tc>
      </w:tr>
      <w:tr>
        <w:trPr>
          <w:trHeight w:val="270"/>
        </w:trPr>
        <w:tc>
          <w:tcPr>
            <w:tcW w:w="4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income before 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50,971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20"/>
          </w:cols>
          <w:pgMar w:left="1180" w:top="989" w:right="1199"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external customers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expenses: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Personnel costs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Facility costs</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Other costs, gains, and losses, net </w:t>
      </w:r>
      <w:r>
        <w:rPr>
          <w:rFonts w:ascii="Arial" w:cs="Arial" w:eastAsia="Arial" w:hAnsi="Arial"/>
          <w:sz w:val="23"/>
          <w:szCs w:val="23"/>
          <w:color w:val="auto"/>
          <w:vertAlign w:val="superscript"/>
        </w:rPr>
        <w:t>(1)</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Total segment expense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income before income tax expense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other:</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Unallocated corporate operating expenses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General &amp; administrative expenses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income, net</w:t>
      </w:r>
    </w:p>
    <w:p>
      <w:pPr>
        <w:spacing w:after="0" w:line="63" w:lineRule="exact"/>
        <w:rPr>
          <w:sz w:val="20"/>
          <w:szCs w:val="20"/>
          <w:color w:val="auto"/>
        </w:rPr>
      </w:pPr>
    </w:p>
    <w:p>
      <w:pPr>
        <w:ind w:left="160" w:right="380" w:hanging="161"/>
        <w:spacing w:after="0" w:line="296" w:lineRule="auto"/>
        <w:rPr>
          <w:sz w:val="20"/>
          <w:szCs w:val="20"/>
          <w:color w:val="auto"/>
        </w:rPr>
      </w:pPr>
      <w:r>
        <w:rPr>
          <w:rFonts w:ascii="Arial" w:cs="Arial" w:eastAsia="Arial" w:hAnsi="Arial"/>
          <w:sz w:val="18"/>
          <w:szCs w:val="18"/>
          <w:b w:val="1"/>
          <w:bCs w:val="1"/>
          <w:color w:val="auto"/>
        </w:rPr>
        <w:t>Consolidated income before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external customers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expenses: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Personnel costs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Facility costs</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Other costs, gains, and losses, net </w:t>
      </w:r>
      <w:r>
        <w:rPr>
          <w:rFonts w:ascii="Arial" w:cs="Arial" w:eastAsia="Arial" w:hAnsi="Arial"/>
          <w:sz w:val="23"/>
          <w:szCs w:val="23"/>
          <w:color w:val="auto"/>
          <w:vertAlign w:val="superscript"/>
        </w:rPr>
        <w:t>(1)</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Total segment expense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income before income tax expense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other:</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Unallocated corporate operating expenses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General &amp; administrative expenses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income, net</w:t>
      </w:r>
    </w:p>
    <w:p>
      <w:pPr>
        <w:spacing w:after="0" w:line="63" w:lineRule="exact"/>
        <w:rPr>
          <w:sz w:val="20"/>
          <w:szCs w:val="20"/>
          <w:color w:val="auto"/>
        </w:rPr>
      </w:pPr>
    </w:p>
    <w:p>
      <w:pPr>
        <w:ind w:left="160" w:right="380" w:hanging="161"/>
        <w:spacing w:after="0" w:line="296" w:lineRule="auto"/>
        <w:rPr>
          <w:sz w:val="20"/>
          <w:szCs w:val="20"/>
          <w:color w:val="auto"/>
        </w:rPr>
      </w:pPr>
      <w:r>
        <w:rPr>
          <w:rFonts w:ascii="Arial" w:cs="Arial" w:eastAsia="Arial" w:hAnsi="Arial"/>
          <w:sz w:val="18"/>
          <w:szCs w:val="18"/>
          <w:b w:val="1"/>
          <w:bCs w:val="1"/>
          <w:color w:val="auto"/>
        </w:rPr>
        <w:t>Consolidated income before income tax expense</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33172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0" w:type="dxa"/>
            <w:vAlign w:val="bottom"/>
          </w:tcPr>
          <w:p>
            <w:pPr>
              <w:spacing w:after="0"/>
              <w:rPr>
                <w:sz w:val="15"/>
                <w:szCs w:val="15"/>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Benefits and</w:t>
            </w:r>
          </w:p>
        </w:tc>
        <w:tc>
          <w:tcPr>
            <w:tcW w:w="200" w:type="dxa"/>
            <w:vAlign w:val="bottom"/>
          </w:tcPr>
          <w:p>
            <w:pPr>
              <w:spacing w:after="0"/>
              <w:rPr>
                <w:sz w:val="15"/>
                <w:szCs w:val="15"/>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National</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Insurance</w:t>
            </w: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Practices</w:t>
            </w:r>
          </w:p>
        </w:tc>
        <w:tc>
          <w:tcPr>
            <w:tcW w:w="240" w:type="dxa"/>
            <w:vAlign w:val="bottom"/>
          </w:tcPr>
          <w:p>
            <w:pPr>
              <w:spacing w:after="0"/>
              <w:rPr>
                <w:sz w:val="18"/>
                <w:szCs w:val="18"/>
                <w:color w:val="auto"/>
              </w:rPr>
            </w:pPr>
          </w:p>
        </w:tc>
        <w:tc>
          <w:tcPr>
            <w:tcW w:w="98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9"/>
        </w:trPr>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1,862,002</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318,292</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35,034</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2,215,328</w:t>
            </w:r>
          </w:p>
        </w:tc>
        <w:tc>
          <w:tcPr>
            <w:tcW w:w="0" w:type="dxa"/>
            <w:vAlign w:val="bottom"/>
          </w:tcPr>
          <w:p>
            <w:pPr>
              <w:spacing w:after="0"/>
              <w:rPr>
                <w:sz w:val="1"/>
                <w:szCs w:val="1"/>
                <w:color w:val="auto"/>
              </w:rPr>
            </w:pPr>
          </w:p>
        </w:tc>
      </w:tr>
      <w:tr>
        <w:trPr>
          <w:trHeight w:val="816"/>
        </w:trPr>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1,170,676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196,965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31,072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1,398,713</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70,283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79,912</w:t>
            </w:r>
          </w:p>
        </w:tc>
        <w:tc>
          <w:tcPr>
            <w:tcW w:w="0" w:type="dxa"/>
            <w:vAlign w:val="bottom"/>
          </w:tcPr>
          <w:p>
            <w:pPr>
              <w:spacing w:after="0"/>
              <w:rPr>
                <w:sz w:val="1"/>
                <w:szCs w:val="1"/>
                <w:color w:val="auto"/>
              </w:rPr>
            </w:pPr>
          </w:p>
        </w:tc>
      </w:tr>
      <w:tr>
        <w:trPr>
          <w:trHeight w:val="266"/>
        </w:trPr>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238,293</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46,445</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283,966</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1,479,252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253,032</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30,307</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1,762,591</w:t>
            </w:r>
          </w:p>
        </w:tc>
        <w:tc>
          <w:tcPr>
            <w:tcW w:w="0" w:type="dxa"/>
            <w:vAlign w:val="bottom"/>
          </w:tcPr>
          <w:p>
            <w:pPr>
              <w:spacing w:after="0"/>
              <w:rPr>
                <w:sz w:val="1"/>
                <w:szCs w:val="1"/>
                <w:color w:val="auto"/>
              </w:rPr>
            </w:pPr>
          </w:p>
        </w:tc>
      </w:tr>
      <w:tr>
        <w:trPr>
          <w:trHeight w:val="262"/>
        </w:trPr>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382,750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65,260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4,727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452,737</w:t>
            </w:r>
          </w:p>
        </w:tc>
        <w:tc>
          <w:tcPr>
            <w:tcW w:w="0" w:type="dxa"/>
            <w:vAlign w:val="bottom"/>
          </w:tcPr>
          <w:p>
            <w:pPr>
              <w:spacing w:after="0"/>
              <w:rPr>
                <w:sz w:val="1"/>
                <w:szCs w:val="1"/>
                <w:color w:val="auto"/>
              </w:rPr>
            </w:pPr>
          </w:p>
        </w:tc>
      </w:tr>
      <w:tr>
        <w:trPr>
          <w:trHeight w:val="694"/>
        </w:trPr>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45,518</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86,972</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80,983</w:t>
            </w:r>
          </w:p>
        </w:tc>
        <w:tc>
          <w:tcPr>
            <w:tcW w:w="0" w:type="dxa"/>
            <w:vAlign w:val="bottom"/>
          </w:tcPr>
          <w:p>
            <w:pPr>
              <w:spacing w:after="0"/>
              <w:rPr>
                <w:sz w:val="1"/>
                <w:szCs w:val="1"/>
                <w:color w:val="auto"/>
              </w:rPr>
            </w:pPr>
          </w:p>
        </w:tc>
      </w:tr>
      <w:tr>
        <w:trPr>
          <w:trHeight w:val="266"/>
        </w:trPr>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(31,831)</w:t>
            </w:r>
          </w:p>
        </w:tc>
        <w:tc>
          <w:tcPr>
            <w:tcW w:w="0" w:type="dxa"/>
            <w:vAlign w:val="bottom"/>
          </w:tcPr>
          <w:p>
            <w:pPr>
              <w:spacing w:after="0"/>
              <w:rPr>
                <w:sz w:val="1"/>
                <w:szCs w:val="1"/>
                <w:color w:val="auto"/>
              </w:rPr>
            </w:pPr>
          </w:p>
        </w:tc>
      </w:tr>
      <w:tr>
        <w:trPr>
          <w:trHeight w:val="439"/>
        </w:trPr>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271,095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9"/>
          </w:tcPr>
          <w:p>
            <w:pPr>
              <w:ind w:left="880"/>
              <w:spacing w:after="0"/>
              <w:rPr>
                <w:sz w:val="20"/>
                <w:szCs w:val="20"/>
                <w:color w:val="auto"/>
              </w:rPr>
            </w:pPr>
            <w:r>
              <w:rPr>
                <w:rFonts w:ascii="Arial" w:cs="Arial" w:eastAsia="Arial" w:hAnsi="Arial"/>
                <w:sz w:val="16"/>
                <w:szCs w:val="16"/>
                <w:b w:val="1"/>
                <w:bCs w:val="1"/>
                <w:color w:val="auto"/>
              </w:rPr>
              <w:t>Nine Months Ended September 30, 2024</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Benefits and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Insurance</w:t>
            </w:r>
          </w:p>
        </w:tc>
        <w:tc>
          <w:tcPr>
            <w:tcW w:w="2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National</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Practices</w:t>
            </w:r>
          </w:p>
        </w:tc>
        <w:tc>
          <w:tcPr>
            <w:tcW w:w="240" w:type="dxa"/>
            <w:vAlign w:val="bottom"/>
          </w:tcPr>
          <w:p>
            <w:pPr>
              <w:spacing w:after="0"/>
              <w:rPr>
                <w:sz w:val="19"/>
                <w:szCs w:val="19"/>
                <w:color w:val="auto"/>
              </w:rPr>
            </w:pPr>
          </w:p>
        </w:tc>
        <w:tc>
          <w:tcPr>
            <w:tcW w:w="98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5"/>
        </w:trPr>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1,004,158</w:t>
            </w:r>
          </w:p>
        </w:tc>
        <w:tc>
          <w:tcPr>
            <w:tcW w:w="12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309,867</w:t>
            </w:r>
          </w:p>
        </w:tc>
        <w:tc>
          <w:tcPr>
            <w:tcW w:w="120" w:type="dxa"/>
            <w:vAlign w:val="bottom"/>
          </w:tcPr>
          <w:p>
            <w:pPr>
              <w:spacing w:after="0"/>
              <w:rPr>
                <w:sz w:val="22"/>
                <w:szCs w:val="22"/>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39,168</w:t>
            </w:r>
          </w:p>
        </w:tc>
        <w:tc>
          <w:tcPr>
            <w:tcW w:w="120" w:type="dxa"/>
            <w:vAlign w:val="bottom"/>
          </w:tcPr>
          <w:p>
            <w:pPr>
              <w:spacing w:after="0"/>
              <w:rPr>
                <w:sz w:val="22"/>
                <w:szCs w:val="22"/>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1,353,193</w:t>
            </w:r>
          </w:p>
        </w:tc>
        <w:tc>
          <w:tcPr>
            <w:tcW w:w="0" w:type="dxa"/>
            <w:vAlign w:val="bottom"/>
          </w:tcPr>
          <w:p>
            <w:pPr>
              <w:spacing w:after="0"/>
              <w:rPr>
                <w:sz w:val="1"/>
                <w:szCs w:val="1"/>
                <w:color w:val="auto"/>
              </w:rPr>
            </w:pPr>
          </w:p>
        </w:tc>
      </w:tr>
      <w:tr>
        <w:trPr>
          <w:trHeight w:val="815"/>
        </w:trPr>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640,021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196,013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33,486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869,520</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35,807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9,354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45,328</w:t>
            </w:r>
          </w:p>
        </w:tc>
        <w:tc>
          <w:tcPr>
            <w:tcW w:w="0" w:type="dxa"/>
            <w:vAlign w:val="bottom"/>
          </w:tcPr>
          <w:p>
            <w:pPr>
              <w:spacing w:after="0"/>
              <w:rPr>
                <w:sz w:val="1"/>
                <w:szCs w:val="1"/>
                <w:color w:val="auto"/>
              </w:rPr>
            </w:pPr>
          </w:p>
        </w:tc>
      </w:tr>
      <w:tr>
        <w:trPr>
          <w:trHeight w:val="266"/>
        </w:trPr>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112,952</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44,389</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153,801</w:t>
            </w: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788,780</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249,756</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30,113</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1,068,649</w:t>
            </w:r>
          </w:p>
        </w:tc>
        <w:tc>
          <w:tcPr>
            <w:tcW w:w="0" w:type="dxa"/>
            <w:vAlign w:val="bottom"/>
          </w:tcPr>
          <w:p>
            <w:pPr>
              <w:spacing w:after="0"/>
              <w:rPr>
                <w:sz w:val="1"/>
                <w:szCs w:val="1"/>
                <w:color w:val="auto"/>
              </w:rPr>
            </w:pPr>
          </w:p>
        </w:tc>
      </w:tr>
      <w:tr>
        <w:trPr>
          <w:trHeight w:val="262"/>
        </w:trPr>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215,378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60,111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9,055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284,544</w:t>
            </w:r>
          </w:p>
        </w:tc>
        <w:tc>
          <w:tcPr>
            <w:tcW w:w="0" w:type="dxa"/>
            <w:vAlign w:val="bottom"/>
          </w:tcPr>
          <w:p>
            <w:pPr>
              <w:spacing w:after="0"/>
              <w:rPr>
                <w:sz w:val="1"/>
                <w:szCs w:val="1"/>
                <w:color w:val="auto"/>
              </w:rPr>
            </w:pPr>
          </w:p>
        </w:tc>
      </w:tr>
      <w:tr>
        <w:trPr>
          <w:trHeight w:val="694"/>
        </w:trPr>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34,908</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63,988</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15,363</w:t>
            </w:r>
          </w:p>
        </w:tc>
        <w:tc>
          <w:tcPr>
            <w:tcW w:w="0" w:type="dxa"/>
            <w:vAlign w:val="bottom"/>
          </w:tcPr>
          <w:p>
            <w:pPr>
              <w:spacing w:after="0"/>
              <w:rPr>
                <w:sz w:val="1"/>
                <w:szCs w:val="1"/>
                <w:color w:val="auto"/>
              </w:rPr>
            </w:pPr>
          </w:p>
        </w:tc>
      </w:tr>
      <w:tr>
        <w:trPr>
          <w:trHeight w:val="266"/>
        </w:trPr>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(12,893)</w:t>
            </w:r>
          </w:p>
        </w:tc>
        <w:tc>
          <w:tcPr>
            <w:tcW w:w="0" w:type="dxa"/>
            <w:vAlign w:val="bottom"/>
          </w:tcPr>
          <w:p>
            <w:pPr>
              <w:spacing w:after="0"/>
              <w:rPr>
                <w:sz w:val="1"/>
                <w:szCs w:val="1"/>
                <w:color w:val="auto"/>
              </w:rPr>
            </w:pPr>
          </w:p>
        </w:tc>
      </w:tr>
      <w:tr>
        <w:trPr>
          <w:trHeight w:val="439"/>
        </w:trPr>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183,178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-5931535</wp:posOffset>
            </wp:positionV>
            <wp:extent cx="596646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-5588635</wp:posOffset>
            </wp:positionV>
            <wp:extent cx="596646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6460" cy="171450"/>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-5245735</wp:posOffset>
            </wp:positionV>
            <wp:extent cx="596646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6460" cy="171450"/>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-4902835</wp:posOffset>
            </wp:positionV>
            <wp:extent cx="596646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6460" cy="171450"/>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-4559935</wp:posOffset>
            </wp:positionV>
            <wp:extent cx="5966460" cy="102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6460" cy="102870"/>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-4285615</wp:posOffset>
            </wp:positionV>
            <wp:extent cx="596646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6460" cy="171450"/>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-3942715</wp:posOffset>
            </wp:positionV>
            <wp:extent cx="596646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6460" cy="171450"/>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-3599815</wp:posOffset>
            </wp:positionV>
            <wp:extent cx="5966460" cy="308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6460" cy="308610"/>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-2656840</wp:posOffset>
            </wp:positionV>
            <wp:extent cx="5966460"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-2313940</wp:posOffset>
            </wp:positionV>
            <wp:extent cx="596646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6460" cy="171450"/>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-1971040</wp:posOffset>
            </wp:positionV>
            <wp:extent cx="596646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6460" cy="171450"/>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-1628140</wp:posOffset>
            </wp:positionV>
            <wp:extent cx="596646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6460" cy="171450"/>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-1285240</wp:posOffset>
            </wp:positionV>
            <wp:extent cx="5966460" cy="102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6460" cy="102870"/>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-1010920</wp:posOffset>
            </wp:positionV>
            <wp:extent cx="596646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6460" cy="171450"/>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-668020</wp:posOffset>
            </wp:positionV>
            <wp:extent cx="596646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6460" cy="171450"/>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-325120</wp:posOffset>
            </wp:positionV>
            <wp:extent cx="5966460"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6460" cy="308610"/>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3800" w:space="360"/>
            <w:col w:w="5560"/>
          </w:cols>
          <w:pgMar w:left="1260" w:top="989" w:right="919" w:bottom="1440" w:gutter="0" w:footer="0" w:header="0"/>
        </w:sectPr>
      </w:pPr>
    </w:p>
    <w:p>
      <w:pPr>
        <w:spacing w:after="0" w:line="72" w:lineRule="exact"/>
        <w:rPr>
          <w:sz w:val="20"/>
          <w:szCs w:val="20"/>
          <w:color w:val="auto"/>
        </w:rPr>
      </w:pPr>
    </w:p>
    <w:p>
      <w:pPr>
        <w:ind w:left="860" w:hanging="820"/>
        <w:spacing w:after="0" w:line="231" w:lineRule="auto"/>
        <w:tabs>
          <w:tab w:leader="none" w:pos="85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Other costs, gains, and losses, net primarily consist of travel and entertainment costs, computer and technology related costs, depreciation and amortization expenses, and other discretionary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20"/>
          </w:cols>
          <w:pgMar w:left="1260" w:top="989" w:right="91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Unless the context otherwise requires, references in this Quarterly Report on Form 10-Q to “we”, “us”, “our”, "CBIZ" or the "Company" shall mean CBIZ, Inc., and its operating subsidiaries.</w:t>
      </w:r>
    </w:p>
    <w:p>
      <w:pPr>
        <w:spacing w:after="0" w:line="4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following discussion is intended to assist in the understanding of our financial position at September 30, 2025 and December 31, 2024, results of operations for the three and nine months ended September 30, 2025 and 2024, and cash flows for the nine months ended September 30, 2025 and 2024, and should be read in conjunction with the unaudited condensed consolidated financial statements and related notes included elsewhere in this Quarterly Report on Form 10-Q and with our Annual Report on Form 10-K for the year ended December 31, 2024. This discussion and analysis contains forward-looking statements and should be read in conjunction with the disclosures and information contained in “Forward-Looking Statements” included elsewhere in this Quarterly Report on Form 10-Q and in “Item 1A. Risk Factors” included in this Quarterly Report on Form 10-Q and in the Annual Report on Form 10-K for the year ended December 31, 2024.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provide professional business services, products and solutions that help our clients grow and succeed by better managing their finances and employees. These services are primarily provided to small and medium-sized businesses, as well as individuals, governmental entities, and not-for-profit enterprises throughout the United States and parts of Canada. We deliver integrated services through three practice groups: Financial Services, Benefits and Insurance Services, and National Practices. Refer to Note 19, Segment Disclosures to the consolidated financial statements in our Annual Report on Form 10-K for the year ended December 31, 2024 for further discussion on the practice groups.</w:t>
      </w:r>
    </w:p>
    <w:p>
      <w:pPr>
        <w:spacing w:after="0" w:line="7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Refer to the Annual Report on Form 10-K for the year ended December 31, 2024 for further discussion of our business and strategies, as well as the external relationships and regulatory factors that currently impact our operations.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Revenue for the three months ended September 30, 2025 increased by $254.9 million, or 58.1%, to $693.8 million from $438.9 million for the same period in 2024. Revenue from newly acquired operations, net of divestitures, contributed $245.6 million, or 56.0%, of incremental revenue for the three months ended September 30, 2025, as compared to the same period in 2024. A detailed discussion of revenue by practice group is included under "Operating Practice Groups."</w:t>
      </w:r>
    </w:p>
    <w:p>
      <w:pPr>
        <w:spacing w:after="0" w:line="6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Revenue for the nine months ended September 30, 2025 increased by $862.1 million, or 63.7%, to $2,215.3 million from $1,353.2 million for the same period in 2024. Revenue from newly acquired operations, net of divestitures, contributed $835.2 million, or 61.7%, of incremental revenue for the nine months ended September 30, 2025 as compared to the same period in 2024. A detailed discussion of revenue by practice group is included under "Operating Practice Groups".</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Net income was $30.1 million, or $0.48 per diluted share, in the third quarter of 2025, compared to $35.1 million, or $0.70 per diluted share, in the third quarter of 2024. For the nine months ended September 30, 2025, net income was $194.9 million, or $3.06 per diluted share, compared to $131.8 million, or $2.62 per diluted share, for the same period in 2024. Refer to “Results of Operations" for a detailed discussion of the components of net income.</w:t>
      </w:r>
    </w:p>
    <w:p>
      <w:pPr>
        <w:spacing w:after="0" w:line="6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uncertainty in the current economic and geopolitical environment has already led to softness in the demand for the nonrecurring project-based services we offer. We expect this softness in demand caused by the current economic and geopolitical environment could continue and may limit management's ability to forecast demand for the remainder of 2025.</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Use of Capital</w:t>
      </w:r>
    </w:p>
    <w:p>
      <w:pPr>
        <w:spacing w:after="0" w:line="1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overall business objective continues to focus on making strategic acquisitions that allow us to strengthen our presence in existing markets, expand into high growth industries, and broaden our services to our existing clients. As a result of the Transaction and related 2024 Credit Facilities, we have $1,586.8 million of outstanding debt under the 2024 Credit Facilities as of September 30, 2025. To achieve our business objective of making strategic acquisitions, our current priority for use of capital is to maximize cash flow to fund working capital to drive organic growth and to pay down debt, which will allow us more liquidity to make strategic, selective, and high-return acquisitions in the future. In addition, we believe that repurchasing shares of our common stock can be a prudent use of our financial resources, and that investing in our stock is an attractive use of capital and an efficient means to provide value to our stockholders.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4" w:name="page25"/>
    <w:bookmarkEnd w:id="24"/>
    <w:p>
      <w:pPr>
        <w:ind w:right="100"/>
        <w:spacing w:after="0" w:line="278" w:lineRule="auto"/>
        <w:rPr>
          <w:sz w:val="20"/>
          <w:szCs w:val="20"/>
          <w:color w:val="auto"/>
        </w:rPr>
      </w:pPr>
      <w:r>
        <w:rPr>
          <w:rFonts w:ascii="Arial" w:cs="Arial" w:eastAsia="Arial" w:hAnsi="Arial"/>
          <w:sz w:val="17"/>
          <w:szCs w:val="17"/>
          <w:color w:val="auto"/>
        </w:rPr>
        <w:t>During the nine months ended September 30, 2025, we repurchased 1.4 million shares of our common stock for $102.8 million under the ROFR Agreement and 0.4 million shares of our common stock in the open market for $25.0 million. Additionally, to settle statutory employee withholding related to vesting of stock awards, we repurchased 0.1 million shares of our common stock at a cost of $7.8 million during the nine months ended September 30, 2025 and 0.2 million shares at a cost of $11.4 million during the nine months ended September 30, 2024. Refer to Note 10, Common Stock, to the accompanying unaudited condensed consolidated financial statements for further details.</w:t>
      </w:r>
    </w:p>
    <w:p>
      <w:pPr>
        <w:spacing w:after="0" w:line="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February 11, 2025, the CBIZ Board of Directors authorized the purchase of up to 5.0 million shares of our common stock under our share repurchase program (the “Share Repurchase Program”), which may be suspended or discontinued at any time and expires on March 31, 2026. The shares may be purchased in the open market, in privately negotiated transactions, and pursuant to Rule 10b5-1 trading plans. Privately negotiated transactions may include purchases from our employees, officers and directors, in accordance with the Securities and Exchange Commission ("SEC") rules. CBIZ management will determine the timing and amount of the purchases based on its evaluation of market conditions and other factors.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total revenue for the three and nine months ended September 30, 2025 and 2024:</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1160" w:type="dxa"/>
            <w:vAlign w:val="bottom"/>
          </w:tcPr>
          <w:p>
            <w:pPr>
              <w:ind w:left="420"/>
              <w:spacing w:after="0" w:line="147"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1260" w:type="dxa"/>
            <w:vAlign w:val="bottom"/>
            <w:gridSpan w:val="2"/>
          </w:tcPr>
          <w:p>
            <w:pPr>
              <w:ind w:left="420"/>
              <w:spacing w:after="0" w:line="147"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2"/>
                <w:szCs w:val="12"/>
                <w:color w:val="auto"/>
              </w:rPr>
            </w:pPr>
          </w:p>
        </w:tc>
        <w:tc>
          <w:tcPr>
            <w:tcW w:w="860" w:type="dxa"/>
            <w:vAlign w:val="bottom"/>
          </w:tcPr>
          <w:p>
            <w:pPr>
              <w:jc w:val="center"/>
              <w:ind w:right="96"/>
              <w:spacing w:after="0" w:line="147" w:lineRule="exact"/>
              <w:rPr>
                <w:sz w:val="20"/>
                <w:szCs w:val="20"/>
                <w:color w:val="auto"/>
              </w:rPr>
            </w:pPr>
            <w:r>
              <w:rPr>
                <w:rFonts w:ascii="Arial" w:cs="Arial" w:eastAsia="Arial" w:hAnsi="Arial"/>
                <w:sz w:val="14"/>
                <w:szCs w:val="14"/>
                <w:b w:val="1"/>
                <w:bCs w:val="1"/>
                <w:color w:val="auto"/>
              </w:rPr>
              <w:t>$</w:t>
            </w:r>
          </w:p>
        </w:tc>
        <w:tc>
          <w:tcPr>
            <w:tcW w:w="1280" w:type="dxa"/>
            <w:vAlign w:val="bottom"/>
          </w:tcPr>
          <w:p>
            <w:pPr>
              <w:jc w:val="center"/>
              <w:ind w:left="36"/>
              <w:spacing w:after="0" w:line="147"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85"/>
        </w:trPr>
        <w:tc>
          <w:tcPr>
            <w:tcW w:w="2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00" w:type="dxa"/>
            <w:vAlign w:val="bottom"/>
            <w:gridSpan w:val="8"/>
          </w:tcPr>
          <w:p>
            <w:pPr>
              <w:jc w:val="right"/>
              <w:spacing w:after="0"/>
              <w:rPr>
                <w:sz w:val="20"/>
                <w:szCs w:val="20"/>
                <w:color w:val="auto"/>
              </w:rPr>
            </w:pPr>
            <w:r>
              <w:rPr>
                <w:rFonts w:ascii="Arial" w:cs="Arial" w:eastAsia="Arial" w:hAnsi="Arial"/>
                <w:sz w:val="14"/>
                <w:szCs w:val="14"/>
                <w:b w:val="1"/>
                <w:bCs w:val="1"/>
                <w:color w:val="auto"/>
              </w:rPr>
              <w:t>(Amounts in thousands, except percentages)</w:t>
            </w: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Services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578,522</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83.4 %</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322,295</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256,227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79.5 %</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Benefits and Insurance Services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103,387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104,040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(653)</w:t>
            </w:r>
          </w:p>
        </w:tc>
        <w:tc>
          <w:tcPr>
            <w:tcW w:w="12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Practices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11,909</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12,549</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2980" w:type="dxa"/>
            <w:vAlign w:val="bottom"/>
          </w:tcPr>
          <w:p>
            <w:pPr>
              <w:ind w:left="220"/>
              <w:spacing w:after="0"/>
              <w:rPr>
                <w:sz w:val="20"/>
                <w:szCs w:val="20"/>
                <w:color w:val="auto"/>
              </w:rPr>
            </w:pPr>
            <w:r>
              <w:rPr>
                <w:rFonts w:ascii="Arial" w:cs="Arial" w:eastAsia="Arial" w:hAnsi="Arial"/>
                <w:sz w:val="18"/>
                <w:szCs w:val="18"/>
                <w:color w:val="auto"/>
              </w:rPr>
              <w:t>Total CBIZ</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693,818</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438,884</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254,934</w:t>
            </w:r>
          </w:p>
        </w:tc>
        <w:tc>
          <w:tcPr>
            <w:tcW w:w="1280" w:type="dxa"/>
            <w:vAlign w:val="bottom"/>
          </w:tcPr>
          <w:p>
            <w:pPr>
              <w:jc w:val="right"/>
              <w:spacing w:after="0"/>
              <w:rPr>
                <w:sz w:val="20"/>
                <w:szCs w:val="20"/>
                <w:color w:val="auto"/>
              </w:rPr>
            </w:pPr>
            <w:r>
              <w:rPr>
                <w:rFonts w:ascii="Arial" w:cs="Arial" w:eastAsia="Arial" w:hAnsi="Arial"/>
                <w:sz w:val="18"/>
                <w:szCs w:val="18"/>
                <w:color w:val="auto"/>
              </w:rPr>
              <w:t>58.1 %</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29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1160" w:type="dxa"/>
            <w:vAlign w:val="bottom"/>
          </w:tcPr>
          <w:p>
            <w:pPr>
              <w:ind w:left="420"/>
              <w:spacing w:after="0" w:line="147"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1260" w:type="dxa"/>
            <w:vAlign w:val="bottom"/>
            <w:gridSpan w:val="2"/>
          </w:tcPr>
          <w:p>
            <w:pPr>
              <w:ind w:left="420"/>
              <w:spacing w:after="0" w:line="147"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2"/>
                <w:szCs w:val="12"/>
                <w:color w:val="auto"/>
              </w:rPr>
            </w:pPr>
          </w:p>
        </w:tc>
        <w:tc>
          <w:tcPr>
            <w:tcW w:w="860" w:type="dxa"/>
            <w:vAlign w:val="bottom"/>
          </w:tcPr>
          <w:p>
            <w:pPr>
              <w:jc w:val="center"/>
              <w:ind w:right="96"/>
              <w:spacing w:after="0" w:line="147" w:lineRule="exact"/>
              <w:rPr>
                <w:sz w:val="20"/>
                <w:szCs w:val="20"/>
                <w:color w:val="auto"/>
              </w:rPr>
            </w:pPr>
            <w:r>
              <w:rPr>
                <w:rFonts w:ascii="Arial" w:cs="Arial" w:eastAsia="Arial" w:hAnsi="Arial"/>
                <w:sz w:val="14"/>
                <w:szCs w:val="14"/>
                <w:b w:val="1"/>
                <w:bCs w:val="1"/>
                <w:color w:val="auto"/>
              </w:rPr>
              <w:t>$</w:t>
            </w:r>
          </w:p>
        </w:tc>
        <w:tc>
          <w:tcPr>
            <w:tcW w:w="1280" w:type="dxa"/>
            <w:vAlign w:val="bottom"/>
          </w:tcPr>
          <w:p>
            <w:pPr>
              <w:jc w:val="center"/>
              <w:ind w:left="36"/>
              <w:spacing w:after="0" w:line="147"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85"/>
        </w:trPr>
        <w:tc>
          <w:tcPr>
            <w:tcW w:w="2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00" w:type="dxa"/>
            <w:vAlign w:val="bottom"/>
            <w:gridSpan w:val="8"/>
          </w:tcPr>
          <w:p>
            <w:pPr>
              <w:jc w:val="right"/>
              <w:spacing w:after="0"/>
              <w:rPr>
                <w:sz w:val="20"/>
                <w:szCs w:val="20"/>
                <w:color w:val="auto"/>
              </w:rPr>
            </w:pPr>
            <w:r>
              <w:rPr>
                <w:rFonts w:ascii="Arial" w:cs="Arial" w:eastAsia="Arial" w:hAnsi="Arial"/>
                <w:sz w:val="14"/>
                <w:szCs w:val="14"/>
                <w:b w:val="1"/>
                <w:bCs w:val="1"/>
                <w:color w:val="auto"/>
              </w:rPr>
              <w:t>(Amounts in thousands, except percentages)</w:t>
            </w: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Services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1,862,002</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84.1 %</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1,004,158</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857,844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85.4 %</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Benefits and Insurance Services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318,292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309,867</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8,425</w:t>
            </w:r>
          </w:p>
        </w:tc>
        <w:tc>
          <w:tcPr>
            <w:tcW w:w="128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Practices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35,034</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39,168</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2980" w:type="dxa"/>
            <w:vAlign w:val="bottom"/>
          </w:tcPr>
          <w:p>
            <w:pPr>
              <w:ind w:left="220"/>
              <w:spacing w:after="0"/>
              <w:rPr>
                <w:sz w:val="20"/>
                <w:szCs w:val="20"/>
                <w:color w:val="auto"/>
              </w:rPr>
            </w:pPr>
            <w:r>
              <w:rPr>
                <w:rFonts w:ascii="Arial" w:cs="Arial" w:eastAsia="Arial" w:hAnsi="Arial"/>
                <w:sz w:val="18"/>
                <w:szCs w:val="18"/>
                <w:color w:val="auto"/>
              </w:rPr>
              <w:t>Total CBIZ</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2,215,328</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1,353,193</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862,135</w:t>
            </w:r>
          </w:p>
        </w:tc>
        <w:tc>
          <w:tcPr>
            <w:tcW w:w="1280" w:type="dxa"/>
            <w:vAlign w:val="bottom"/>
          </w:tcPr>
          <w:p>
            <w:pPr>
              <w:jc w:val="right"/>
              <w:spacing w:after="0"/>
              <w:rPr>
                <w:sz w:val="20"/>
                <w:szCs w:val="20"/>
                <w:color w:val="auto"/>
              </w:rPr>
            </w:pPr>
            <w:r>
              <w:rPr>
                <w:rFonts w:ascii="Arial" w:cs="Arial" w:eastAsia="Arial" w:hAnsi="Arial"/>
                <w:sz w:val="18"/>
                <w:szCs w:val="18"/>
                <w:color w:val="auto"/>
              </w:rPr>
              <w:t>63.7 %</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Plan</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sponsor a Non-qualified Deferred Compensation Plan (the "deferred compensation plan"), under which a CBIZ employee’s compensation deferral is held in a rabbi trust and invested accordingly as directed by the employee. Income and expenses related to the deferred compensation plan, which are recorded in "Corporate and Other" for segment reporting purposes, are included in “Operating expenses”, “Gross margin” and “Corporate general and administrative expenses” and are directly offset by deferred compensation gains or losses in “Other income, net” in the accompanying Condensed Consolidated Statements of Comprehensive Income. The deferred compensation plan has no impact on “Income before income tax expense” or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5" w:name="page26"/>
    <w:bookmarkEnd w:id="25"/>
    <w:p>
      <w:pPr>
        <w:ind w:right="120"/>
        <w:spacing w:after="0" w:line="287" w:lineRule="auto"/>
        <w:rPr>
          <w:sz w:val="20"/>
          <w:szCs w:val="20"/>
          <w:color w:val="auto"/>
        </w:rPr>
      </w:pPr>
      <w:r>
        <w:rPr>
          <w:rFonts w:ascii="Arial" w:cs="Arial" w:eastAsia="Arial" w:hAnsi="Arial"/>
          <w:sz w:val="18"/>
          <w:szCs w:val="18"/>
          <w:color w:val="auto"/>
        </w:rPr>
        <w:t>Income and expenses related to the deferred compensation plan for the three and nine months ended September 30, 2025 and 2024 were as follows:</w:t>
      </w:r>
    </w:p>
    <w:p>
      <w:pPr>
        <w:spacing w:after="0" w:line="95"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3600" w:type="dxa"/>
            <w:vAlign w:val="bottom"/>
          </w:tcPr>
          <w:p>
            <w:pPr>
              <w:spacing w:after="0"/>
              <w:rPr>
                <w:sz w:val="17"/>
                <w:szCs w:val="17"/>
                <w:color w:val="auto"/>
              </w:rPr>
            </w:pPr>
          </w:p>
        </w:tc>
        <w:tc>
          <w:tcPr>
            <w:tcW w:w="33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7"/>
                <w:szCs w:val="17"/>
                <w:color w:val="auto"/>
              </w:rPr>
            </w:pPr>
          </w:p>
        </w:tc>
        <w:tc>
          <w:tcPr>
            <w:tcW w:w="3400" w:type="dxa"/>
            <w:vAlign w:val="bottom"/>
            <w:gridSpan w:val="3"/>
          </w:tcPr>
          <w:p>
            <w:pPr>
              <w:jc w:val="right"/>
              <w:ind w:right="63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737"/>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20" w:type="dxa"/>
            <w:vAlign w:val="bottom"/>
            <w:gridSpan w:val="4"/>
          </w:tcPr>
          <w:p>
            <w:pPr>
              <w:jc w:val="right"/>
              <w:ind w:right="737"/>
              <w:spacing w:after="0"/>
              <w:rPr>
                <w:sz w:val="20"/>
                <w:szCs w:val="20"/>
                <w:color w:val="auto"/>
              </w:rPr>
            </w:pPr>
            <w:r>
              <w:rPr>
                <w:rFonts w:ascii="Arial" w:cs="Arial" w:eastAsia="Arial" w:hAnsi="Arial"/>
                <w:sz w:val="14"/>
                <w:szCs w:val="14"/>
                <w:b w:val="1"/>
                <w:bCs w:val="1"/>
                <w:color w:val="auto"/>
              </w:rPr>
              <w:t>(Amounts in thousands)</w:t>
            </w:r>
          </w:p>
        </w:tc>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expense</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7,847</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17,132</w:t>
            </w:r>
          </w:p>
        </w:tc>
        <w:tc>
          <w:tcPr>
            <w:tcW w:w="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18,164</w:t>
            </w:r>
          </w:p>
        </w:tc>
        <w:tc>
          <w:tcPr>
            <w:tcW w:w="0" w:type="dxa"/>
            <w:vAlign w:val="bottom"/>
          </w:tcPr>
          <w:p>
            <w:pPr>
              <w:spacing w:after="0"/>
              <w:rPr>
                <w:sz w:val="1"/>
                <w:szCs w:val="1"/>
                <w:color w:val="auto"/>
              </w:rPr>
            </w:pPr>
          </w:p>
        </w:tc>
      </w:tr>
      <w:tr>
        <w:trPr>
          <w:trHeight w:val="175"/>
        </w:trPr>
        <w:tc>
          <w:tcPr>
            <w:tcW w:w="3600" w:type="dxa"/>
            <w:vAlign w:val="bottom"/>
          </w:tcPr>
          <w:p>
            <w:pPr>
              <w:ind w:left="20"/>
              <w:spacing w:after="0" w:line="176" w:lineRule="exact"/>
              <w:rPr>
                <w:sz w:val="20"/>
                <w:szCs w:val="20"/>
                <w:color w:val="auto"/>
              </w:rPr>
            </w:pPr>
            <w:r>
              <w:rPr>
                <w:rFonts w:ascii="Arial" w:cs="Arial" w:eastAsia="Arial" w:hAnsi="Arial"/>
                <w:sz w:val="18"/>
                <w:szCs w:val="18"/>
                <w:color w:val="auto"/>
              </w:rPr>
              <w:t>Corporate general &amp; administrative (income)</w:t>
            </w:r>
          </w:p>
        </w:tc>
        <w:tc>
          <w:tcPr>
            <w:tcW w:w="940" w:type="dxa"/>
            <w:vAlign w:val="bottom"/>
          </w:tcPr>
          <w:p>
            <w:pPr>
              <w:spacing w:after="0"/>
              <w:rPr>
                <w:sz w:val="15"/>
                <w:szCs w:val="15"/>
                <w:color w:val="auto"/>
              </w:rPr>
            </w:pPr>
          </w:p>
        </w:tc>
        <w:tc>
          <w:tcPr>
            <w:tcW w:w="580" w:type="dxa"/>
            <w:vAlign w:val="bottom"/>
            <w:vMerge w:val="restart"/>
          </w:tcPr>
          <w:p>
            <w:pPr>
              <w:jc w:val="right"/>
              <w:ind w:right="10"/>
              <w:spacing w:after="0"/>
              <w:rPr>
                <w:sz w:val="20"/>
                <w:szCs w:val="20"/>
                <w:color w:val="auto"/>
              </w:rPr>
            </w:pPr>
            <w:r>
              <w:rPr>
                <w:rFonts w:ascii="Arial" w:cs="Arial" w:eastAsia="Arial" w:hAnsi="Arial"/>
                <w:sz w:val="18"/>
                <w:szCs w:val="18"/>
                <w:color w:val="auto"/>
              </w:rPr>
              <w:t>1,076</w:t>
            </w:r>
          </w:p>
        </w:tc>
        <w:tc>
          <w:tcPr>
            <w:tcW w:w="4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1,064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vMerge w:val="restart"/>
          </w:tcPr>
          <w:p>
            <w:pPr>
              <w:jc w:val="right"/>
              <w:ind w:right="37"/>
              <w:spacing w:after="0"/>
              <w:rPr>
                <w:sz w:val="20"/>
                <w:szCs w:val="20"/>
                <w:color w:val="auto"/>
              </w:rPr>
            </w:pPr>
            <w:r>
              <w:rPr>
                <w:rFonts w:ascii="Arial" w:cs="Arial" w:eastAsia="Arial" w:hAnsi="Arial"/>
                <w:sz w:val="18"/>
                <w:szCs w:val="18"/>
                <w:color w:val="auto"/>
              </w:rPr>
              <w:t>2,415</w:t>
            </w:r>
          </w:p>
        </w:tc>
        <w:tc>
          <w:tcPr>
            <w:tcW w:w="5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expense</w:t>
            </w:r>
          </w:p>
        </w:tc>
        <w:tc>
          <w:tcPr>
            <w:tcW w:w="94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8,923</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19,547</w:t>
            </w:r>
          </w:p>
        </w:tc>
        <w:tc>
          <w:tcPr>
            <w:tcW w:w="5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Excluding the impact of the above-mentioned income and expenses related to the deferred compensation plan, the operating results for the three and nine months ended September 30, 2025 and 2024 were as follows:</w:t>
      </w:r>
    </w:p>
    <w:p>
      <w:pPr>
        <w:spacing w:after="0" w:line="95"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23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10"/>
          </w:tcPr>
          <w:p>
            <w:pPr>
              <w:jc w:val="center"/>
              <w:ind w:right="2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20" w:type="dxa"/>
            <w:vAlign w:val="bottom"/>
            <w:gridSpan w:val="10"/>
          </w:tcPr>
          <w:p>
            <w:pPr>
              <w:jc w:val="center"/>
              <w:ind w:right="200"/>
              <w:spacing w:after="0"/>
              <w:rPr>
                <w:sz w:val="20"/>
                <w:szCs w:val="20"/>
                <w:color w:val="auto"/>
              </w:rPr>
            </w:pPr>
            <w:r>
              <w:rPr>
                <w:rFonts w:ascii="Arial" w:cs="Arial" w:eastAsia="Arial" w:hAnsi="Arial"/>
                <w:sz w:val="13"/>
                <w:szCs w:val="13"/>
                <w:b w:val="1"/>
                <w:bCs w:val="1"/>
                <w:color w:val="auto"/>
                <w:w w:val="97"/>
              </w:rPr>
              <w:t>(Amounts in thousands, except percentages)</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97"/>
              </w:rPr>
              <w:t>Deferred</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97"/>
              </w:rPr>
              <w:t>Deferred</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As Reported</w:t>
            </w:r>
          </w:p>
        </w:tc>
        <w:tc>
          <w:tcPr>
            <w:tcW w:w="104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Compensation</w:t>
            </w:r>
          </w:p>
        </w:tc>
        <w:tc>
          <w:tcPr>
            <w:tcW w:w="140" w:type="dxa"/>
            <w:vAlign w:val="bottom"/>
          </w:tcPr>
          <w:p>
            <w:pPr>
              <w:spacing w:after="0"/>
              <w:rPr>
                <w:sz w:val="10"/>
                <w:szCs w:val="10"/>
                <w:color w:val="auto"/>
              </w:rPr>
            </w:pPr>
          </w:p>
        </w:tc>
        <w:tc>
          <w:tcPr>
            <w:tcW w:w="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Adjusted</w:t>
            </w:r>
          </w:p>
        </w:tc>
        <w:tc>
          <w:tcPr>
            <w:tcW w:w="10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 of Revenue</w:t>
            </w:r>
          </w:p>
        </w:tc>
        <w:tc>
          <w:tcPr>
            <w:tcW w:w="94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As Reported</w:t>
            </w:r>
          </w:p>
        </w:tc>
        <w:tc>
          <w:tcPr>
            <w:tcW w:w="102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Compensation</w:t>
            </w:r>
          </w:p>
        </w:tc>
        <w:tc>
          <w:tcPr>
            <w:tcW w:w="14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Adjusted</w:t>
            </w:r>
          </w:p>
        </w:tc>
        <w:tc>
          <w:tcPr>
            <w:tcW w:w="9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of Revenue</w:t>
            </w: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Plan</w:t>
            </w: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Plan</w:t>
            </w: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   90,129</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97,976</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14.1 %</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72,913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80,218</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18.3 %</w:t>
            </w:r>
          </w:p>
        </w:tc>
        <w:tc>
          <w:tcPr>
            <w:tcW w:w="0" w:type="dxa"/>
            <w:vAlign w:val="bottom"/>
          </w:tcPr>
          <w:p>
            <w:pPr>
              <w:spacing w:after="0"/>
              <w:rPr>
                <w:sz w:val="1"/>
                <w:szCs w:val="1"/>
                <w:color w:val="auto"/>
              </w:rPr>
            </w:pPr>
          </w:p>
        </w:tc>
      </w:tr>
      <w:tr>
        <w:trPr>
          <w:trHeight w:val="198"/>
        </w:trPr>
        <w:tc>
          <w:tcPr>
            <w:tcW w:w="236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58,864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67,787</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9.8 %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49,686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8,369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58,055</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13.2 %</w:t>
            </w:r>
          </w:p>
        </w:tc>
        <w:tc>
          <w:tcPr>
            <w:tcW w:w="0" w:type="dxa"/>
            <w:vAlign w:val="bottom"/>
          </w:tcPr>
          <w:p>
            <w:pPr>
              <w:spacing w:after="0"/>
              <w:rPr>
                <w:sz w:val="1"/>
                <w:szCs w:val="1"/>
                <w:color w:val="auto"/>
              </w:rPr>
            </w:pPr>
          </w:p>
        </w:tc>
      </w:tr>
      <w:tr>
        <w:trPr>
          <w:trHeight w:val="207"/>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8,378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(7,069)</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4"/>
        </w:trPr>
        <w:tc>
          <w:tcPr>
            <w:tcW w:w="2360" w:type="dxa"/>
            <w:vAlign w:val="bottom"/>
          </w:tcPr>
          <w:p>
            <w:pPr>
              <w:ind w:left="20"/>
              <w:spacing w:after="0"/>
              <w:rPr>
                <w:sz w:val="20"/>
                <w:szCs w:val="20"/>
                <w:color w:val="auto"/>
              </w:rPr>
            </w:pPr>
            <w:r>
              <w:rPr>
                <w:rFonts w:ascii="Arial" w:cs="Arial" w:eastAsia="Arial" w:hAnsi="Arial"/>
                <w:sz w:val="14"/>
                <w:szCs w:val="14"/>
                <w:color w:val="auto"/>
              </w:rPr>
              <w:t>Income before income tax expense</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40,406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40,406</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50,971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50,971</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11.6 %</w:t>
            </w:r>
          </w:p>
        </w:tc>
        <w:tc>
          <w:tcPr>
            <w:tcW w:w="0" w:type="dxa"/>
            <w:vAlign w:val="bottom"/>
          </w:tcPr>
          <w:p>
            <w:pPr>
              <w:spacing w:after="0"/>
              <w:rPr>
                <w:sz w:val="1"/>
                <w:szCs w:val="1"/>
                <w:color w:val="auto"/>
              </w:rPr>
            </w:pPr>
          </w:p>
        </w:tc>
      </w:tr>
    </w:tbl>
    <w:p>
      <w:pPr>
        <w:spacing w:after="0" w:line="228"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23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7"/>
          </w:tcPr>
          <w:p>
            <w:pPr>
              <w:jc w:val="center"/>
              <w:ind w:left="571"/>
              <w:spacing w:after="0"/>
              <w:rPr>
                <w:sz w:val="20"/>
                <w:szCs w:val="20"/>
                <w:color w:val="auto"/>
              </w:rPr>
            </w:pPr>
            <w:r>
              <w:rPr>
                <w:rFonts w:ascii="Arial" w:cs="Arial" w:eastAsia="Arial" w:hAnsi="Arial"/>
                <w:sz w:val="14"/>
                <w:szCs w:val="14"/>
                <w:b w:val="1"/>
                <w:bCs w:val="1"/>
                <w:color w:val="auto"/>
              </w:rPr>
              <w:t>Nine Months Ended September 30,</w:t>
            </w: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20" w:type="dxa"/>
            <w:vAlign w:val="bottom"/>
            <w:gridSpan w:val="9"/>
          </w:tcPr>
          <w:p>
            <w:pPr>
              <w:jc w:val="center"/>
              <w:ind w:right="180"/>
              <w:spacing w:after="0"/>
              <w:rPr>
                <w:sz w:val="20"/>
                <w:szCs w:val="20"/>
                <w:color w:val="auto"/>
              </w:rPr>
            </w:pPr>
            <w:r>
              <w:rPr>
                <w:rFonts w:ascii="Arial" w:cs="Arial" w:eastAsia="Arial" w:hAnsi="Arial"/>
                <w:sz w:val="13"/>
                <w:szCs w:val="13"/>
                <w:b w:val="1"/>
                <w:bCs w:val="1"/>
                <w:color w:val="auto"/>
                <w:w w:val="96"/>
              </w:rPr>
              <w:t>(Amounts in thousands, except percentages)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Deferred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Deferred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rPr>
                <w:sz w:val="10"/>
                <w:szCs w:val="10"/>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As Reported</w:t>
            </w:r>
          </w:p>
        </w:tc>
        <w:tc>
          <w:tcPr>
            <w:tcW w:w="1020" w:type="dxa"/>
            <w:vAlign w:val="bottom"/>
            <w:gridSpan w:val="3"/>
          </w:tcPr>
          <w:p>
            <w:pPr>
              <w:jc w:val="center"/>
              <w:ind w:right="100"/>
              <w:spacing w:after="0" w:line="126" w:lineRule="exact"/>
              <w:rPr>
                <w:sz w:val="20"/>
                <w:szCs w:val="20"/>
                <w:color w:val="auto"/>
              </w:rPr>
            </w:pPr>
            <w:r>
              <w:rPr>
                <w:rFonts w:ascii="Arial" w:cs="Arial" w:eastAsia="Arial" w:hAnsi="Arial"/>
                <w:sz w:val="13"/>
                <w:szCs w:val="13"/>
                <w:b w:val="1"/>
                <w:bCs w:val="1"/>
                <w:color w:val="auto"/>
                <w:w w:val="97"/>
              </w:rPr>
              <w:t>Compensation</w:t>
            </w:r>
          </w:p>
        </w:tc>
        <w:tc>
          <w:tcPr>
            <w:tcW w:w="14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Adjusted</w:t>
            </w:r>
          </w:p>
        </w:tc>
        <w:tc>
          <w:tcPr>
            <w:tcW w:w="10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 of Revenue</w:t>
            </w:r>
          </w:p>
        </w:tc>
        <w:tc>
          <w:tcPr>
            <w:tcW w:w="9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As Reported</w:t>
            </w:r>
          </w:p>
        </w:tc>
        <w:tc>
          <w:tcPr>
            <w:tcW w:w="1020" w:type="dxa"/>
            <w:vAlign w:val="bottom"/>
            <w:gridSpan w:val="3"/>
          </w:tcPr>
          <w:p>
            <w:pPr>
              <w:jc w:val="center"/>
              <w:ind w:right="80"/>
              <w:spacing w:after="0" w:line="126" w:lineRule="exact"/>
              <w:rPr>
                <w:sz w:val="20"/>
                <w:szCs w:val="20"/>
                <w:color w:val="auto"/>
              </w:rPr>
            </w:pPr>
            <w:r>
              <w:rPr>
                <w:rFonts w:ascii="Arial" w:cs="Arial" w:eastAsia="Arial" w:hAnsi="Arial"/>
                <w:sz w:val="13"/>
                <w:szCs w:val="13"/>
                <w:b w:val="1"/>
                <w:bCs w:val="1"/>
                <w:color w:val="auto"/>
                <w:w w:val="95"/>
              </w:rPr>
              <w:t>Compensation</w:t>
            </w:r>
          </w:p>
        </w:tc>
        <w:tc>
          <w:tcPr>
            <w:tcW w:w="16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Adjusted</w:t>
            </w:r>
          </w:p>
        </w:tc>
        <w:tc>
          <w:tcPr>
            <w:tcW w:w="9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of Revenue</w:t>
            </w:r>
          </w:p>
        </w:tc>
        <w:tc>
          <w:tcPr>
            <w:tcW w:w="0" w:type="dxa"/>
            <w:vAlign w:val="bottom"/>
          </w:tcPr>
          <w:p>
            <w:pPr>
              <w:spacing w:after="0"/>
              <w:rPr>
                <w:sz w:val="1"/>
                <w:szCs w:val="1"/>
                <w:color w:val="auto"/>
              </w:rPr>
            </w:pPr>
          </w:p>
        </w:tc>
      </w:tr>
      <w:tr>
        <w:trPr>
          <w:trHeight w:val="174"/>
        </w:trPr>
        <w:tc>
          <w:tcPr>
            <w:tcW w:w="23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Plan</w:t>
            </w: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Plan</w:t>
            </w: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406,140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17,132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423,272</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19.1 %</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244,369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18,164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262,533</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19.4 %</w:t>
            </w:r>
          </w:p>
        </w:tc>
        <w:tc>
          <w:tcPr>
            <w:tcW w:w="0" w:type="dxa"/>
            <w:vAlign w:val="bottom"/>
          </w:tcPr>
          <w:p>
            <w:pPr>
              <w:spacing w:after="0"/>
              <w:rPr>
                <w:sz w:val="1"/>
                <w:szCs w:val="1"/>
                <w:color w:val="auto"/>
              </w:rPr>
            </w:pPr>
          </w:p>
        </w:tc>
      </w:tr>
      <w:tr>
        <w:trPr>
          <w:trHeight w:val="198"/>
        </w:trPr>
        <w:tc>
          <w:tcPr>
            <w:tcW w:w="232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860" w:type="dxa"/>
            <w:vAlign w:val="bottom"/>
          </w:tcPr>
          <w:p>
            <w:pPr>
              <w:jc w:val="right"/>
              <w:spacing w:after="0"/>
              <w:rPr>
                <w:sz w:val="20"/>
                <w:szCs w:val="20"/>
                <w:color w:val="auto"/>
              </w:rPr>
            </w:pPr>
            <w:r>
              <w:rPr>
                <w:rFonts w:ascii="Arial" w:cs="Arial" w:eastAsia="Arial" w:hAnsi="Arial"/>
                <w:sz w:val="14"/>
                <w:szCs w:val="14"/>
                <w:color w:val="auto"/>
              </w:rPr>
              <w:t>319,168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19,547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338,715</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15.3 %</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180,381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20,608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200,989</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14.9 %</w:t>
            </w:r>
          </w:p>
        </w:tc>
        <w:tc>
          <w:tcPr>
            <w:tcW w:w="0" w:type="dxa"/>
            <w:vAlign w:val="bottom"/>
          </w:tcPr>
          <w:p>
            <w:pPr>
              <w:spacing w:after="0"/>
              <w:rPr>
                <w:sz w:val="1"/>
                <w:szCs w:val="1"/>
                <w:color w:val="auto"/>
              </w:rPr>
            </w:pPr>
          </w:p>
        </w:tc>
      </w:tr>
      <w:tr>
        <w:trPr>
          <w:trHeight w:val="207"/>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12,239</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0.6 %</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(20,608)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(7,401)</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94"/>
        </w:trPr>
        <w:tc>
          <w:tcPr>
            <w:tcW w:w="2320" w:type="dxa"/>
            <w:vAlign w:val="bottom"/>
          </w:tcPr>
          <w:p>
            <w:pPr>
              <w:ind w:left="20"/>
              <w:spacing w:after="0"/>
              <w:rPr>
                <w:sz w:val="20"/>
                <w:szCs w:val="20"/>
                <w:color w:val="auto"/>
              </w:rPr>
            </w:pPr>
            <w:r>
              <w:rPr>
                <w:rFonts w:ascii="Arial" w:cs="Arial" w:eastAsia="Arial" w:hAnsi="Arial"/>
                <w:sz w:val="14"/>
                <w:szCs w:val="14"/>
                <w:color w:val="auto"/>
              </w:rPr>
              <w:t>Income before income tax expense</w:t>
            </w:r>
          </w:p>
        </w:tc>
        <w:tc>
          <w:tcPr>
            <w:tcW w:w="860" w:type="dxa"/>
            <w:vAlign w:val="bottom"/>
          </w:tcPr>
          <w:p>
            <w:pPr>
              <w:jc w:val="right"/>
              <w:spacing w:after="0"/>
              <w:rPr>
                <w:sz w:val="20"/>
                <w:szCs w:val="20"/>
                <w:color w:val="auto"/>
              </w:rPr>
            </w:pPr>
            <w:r>
              <w:rPr>
                <w:rFonts w:ascii="Arial" w:cs="Arial" w:eastAsia="Arial" w:hAnsi="Arial"/>
                <w:sz w:val="14"/>
                <w:szCs w:val="14"/>
                <w:color w:val="auto"/>
              </w:rPr>
              <w:t>271,095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271,095</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12.2 %</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183,178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183,178</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13.5 %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99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98" w:right="4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total operating expenses for the three and nine months ended September 30, 2025 and 2024:</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rPr>
              <w:t>Three Months Ended September 30,</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55"/>
              <w:spacing w:after="0" w:line="147"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180" w:type="dxa"/>
            <w:vAlign w:val="bottom"/>
          </w:tcPr>
          <w:p>
            <w:pPr>
              <w:jc w:val="center"/>
              <w:ind w:right="115"/>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4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80" w:type="dxa"/>
            <w:vAlign w:val="bottom"/>
            <w:gridSpan w:val="10"/>
          </w:tcPr>
          <w:p>
            <w:pPr>
              <w:jc w:val="center"/>
              <w:ind w:left="834"/>
              <w:spacing w:after="0"/>
              <w:rPr>
                <w:sz w:val="20"/>
                <w:szCs w:val="20"/>
                <w:color w:val="auto"/>
              </w:rPr>
            </w:pPr>
            <w:r>
              <w:rPr>
                <w:rFonts w:ascii="Arial" w:cs="Arial" w:eastAsia="Arial" w:hAnsi="Arial"/>
                <w:sz w:val="14"/>
                <w:szCs w:val="14"/>
                <w:b w:val="1"/>
                <w:bCs w:val="1"/>
                <w:color w:val="auto"/>
              </w:rPr>
              <w:t>(Amounts in thousands, except percentages)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 by segment:</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00" w:type="dxa"/>
            <w:vAlign w:val="bottom"/>
            <w:gridSpan w:val="2"/>
          </w:tcPr>
          <w:p>
            <w:pPr>
              <w:ind w:left="240"/>
              <w:spacing w:after="0"/>
              <w:rPr>
                <w:sz w:val="20"/>
                <w:szCs w:val="20"/>
                <w:color w:val="auto"/>
              </w:rPr>
            </w:pPr>
            <w:r>
              <w:rPr>
                <w:rFonts w:ascii="Arial" w:cs="Arial" w:eastAsia="Arial" w:hAnsi="Arial"/>
                <w:sz w:val="18"/>
                <w:szCs w:val="18"/>
                <w:color w:val="auto"/>
              </w:rPr>
              <w:t>Financial 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483,841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260,639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223,202</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85.6 %</w:t>
            </w: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Benefits and Insurance Services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84,082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82,965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1,117</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4300" w:type="dxa"/>
            <w:vAlign w:val="bottom"/>
            <w:gridSpan w:val="2"/>
          </w:tcPr>
          <w:p>
            <w:pPr>
              <w:ind w:left="240"/>
              <w:spacing w:after="0"/>
              <w:rPr>
                <w:sz w:val="20"/>
                <w:szCs w:val="20"/>
                <w:color w:val="auto"/>
              </w:rPr>
            </w:pPr>
            <w:r>
              <w:rPr>
                <w:rFonts w:ascii="Arial" w:cs="Arial" w:eastAsia="Arial" w:hAnsi="Arial"/>
                <w:sz w:val="18"/>
                <w:szCs w:val="18"/>
                <w:color w:val="auto"/>
              </w:rPr>
              <w:t>National Practices</w:t>
            </w:r>
          </w:p>
        </w:tc>
        <w:tc>
          <w:tcPr>
            <w:tcW w:w="260" w:type="dxa"/>
            <w:vAlign w:val="bottom"/>
          </w:tcPr>
          <w:p>
            <w:pPr>
              <w:spacing w:after="0"/>
              <w:rPr>
                <w:sz w:val="19"/>
                <w:szCs w:val="19"/>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10,685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11,101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(416)</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Corporate and Other</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25,081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11,266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13,815</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122.6 %</w:t>
            </w:r>
          </w:p>
        </w:tc>
        <w:tc>
          <w:tcPr>
            <w:tcW w:w="0" w:type="dxa"/>
            <w:vAlign w:val="bottom"/>
          </w:tcPr>
          <w:p>
            <w:pPr>
              <w:spacing w:after="0"/>
              <w:rPr>
                <w:sz w:val="1"/>
                <w:szCs w:val="1"/>
                <w:color w:val="auto"/>
              </w:rPr>
            </w:pPr>
          </w:p>
        </w:tc>
      </w:tr>
      <w:tr>
        <w:trPr>
          <w:trHeight w:val="223"/>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603,689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365,971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237,718</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 % of revenue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Operating expenses excluding deferred</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14"/>
              <w:spacing w:after="0"/>
              <w:rPr>
                <w:sz w:val="20"/>
                <w:szCs w:val="20"/>
                <w:color w:val="auto"/>
              </w:rPr>
            </w:pPr>
            <w:r>
              <w:rPr>
                <w:rFonts w:ascii="Arial" w:cs="Arial" w:eastAsia="Arial" w:hAnsi="Arial"/>
                <w:sz w:val="18"/>
                <w:szCs w:val="18"/>
                <w:color w:val="auto"/>
              </w:rPr>
              <w:t>595,842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ind w:right="34"/>
              <w:spacing w:after="0"/>
              <w:rPr>
                <w:sz w:val="20"/>
                <w:szCs w:val="20"/>
                <w:color w:val="auto"/>
              </w:rPr>
            </w:pPr>
            <w:r>
              <w:rPr>
                <w:rFonts w:ascii="Arial" w:cs="Arial" w:eastAsia="Arial" w:hAnsi="Arial"/>
                <w:sz w:val="18"/>
                <w:szCs w:val="18"/>
                <w:color w:val="auto"/>
              </w:rPr>
              <w:t>358,666</w:t>
            </w:r>
          </w:p>
        </w:tc>
        <w:tc>
          <w:tcPr>
            <w:tcW w:w="12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35"/>
              <w:spacing w:after="0"/>
              <w:rPr>
                <w:sz w:val="20"/>
                <w:szCs w:val="20"/>
                <w:color w:val="auto"/>
              </w:rPr>
            </w:pPr>
            <w:r>
              <w:rPr>
                <w:rFonts w:ascii="Arial" w:cs="Arial" w:eastAsia="Arial" w:hAnsi="Arial"/>
                <w:sz w:val="18"/>
                <w:szCs w:val="18"/>
                <w:color w:val="auto"/>
              </w:rPr>
              <w:t>237,176</w:t>
            </w:r>
          </w:p>
        </w:tc>
        <w:tc>
          <w:tcPr>
            <w:tcW w:w="3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66.1 %</w:t>
            </w:r>
          </w:p>
        </w:tc>
        <w:tc>
          <w:tcPr>
            <w:tcW w:w="0" w:type="dxa"/>
            <w:vAlign w:val="bottom"/>
          </w:tcPr>
          <w:p>
            <w:pPr>
              <w:spacing w:after="0"/>
              <w:rPr>
                <w:sz w:val="1"/>
                <w:szCs w:val="1"/>
                <w:color w:val="auto"/>
              </w:rPr>
            </w:pPr>
          </w:p>
        </w:tc>
      </w:tr>
      <w:tr>
        <w:trPr>
          <w:trHeight w:val="243"/>
        </w:trPr>
        <w:tc>
          <w:tcPr>
            <w:tcW w:w="4300" w:type="dxa"/>
            <w:vAlign w:val="bottom"/>
            <w:gridSpan w:val="2"/>
          </w:tcPr>
          <w:p>
            <w:pPr>
              <w:ind w:left="100"/>
              <w:spacing w:after="0"/>
              <w:rPr>
                <w:sz w:val="20"/>
                <w:szCs w:val="20"/>
                <w:color w:val="auto"/>
              </w:rPr>
            </w:pPr>
            <w:r>
              <w:rPr>
                <w:rFonts w:ascii="Arial" w:cs="Arial" w:eastAsia="Arial" w:hAnsi="Arial"/>
                <w:sz w:val="18"/>
                <w:szCs w:val="18"/>
                <w:color w:val="auto"/>
              </w:rPr>
              <w:t>compensation</w:t>
            </w:r>
          </w:p>
        </w:tc>
        <w:tc>
          <w:tcPr>
            <w:tcW w:w="26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3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Operating expenses excluding deferred</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85.9 %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81.7 %</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compensation % of revenue</w:t>
            </w:r>
          </w:p>
        </w:tc>
        <w:tc>
          <w:tcPr>
            <w:tcW w:w="2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47"/>
        </w:trPr>
        <w:tc>
          <w:tcPr>
            <w:tcW w:w="4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rPr>
              <w:t>Nine Months Ended September 30,</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55"/>
              <w:spacing w:after="0" w:line="143"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180" w:type="dxa"/>
            <w:vAlign w:val="bottom"/>
          </w:tcPr>
          <w:p>
            <w:pPr>
              <w:jc w:val="center"/>
              <w:ind w:right="115"/>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80" w:type="dxa"/>
            <w:vAlign w:val="bottom"/>
            <w:gridSpan w:val="10"/>
          </w:tcPr>
          <w:p>
            <w:pPr>
              <w:jc w:val="center"/>
              <w:ind w:left="834"/>
              <w:spacing w:after="0"/>
              <w:rPr>
                <w:sz w:val="20"/>
                <w:szCs w:val="20"/>
                <w:color w:val="auto"/>
              </w:rPr>
            </w:pPr>
            <w:r>
              <w:rPr>
                <w:rFonts w:ascii="Arial" w:cs="Arial" w:eastAsia="Arial" w:hAnsi="Arial"/>
                <w:sz w:val="14"/>
                <w:szCs w:val="14"/>
                <w:b w:val="1"/>
                <w:bCs w:val="1"/>
                <w:color w:val="auto"/>
              </w:rPr>
              <w:t>(Amounts in thousands, except percentages)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 by segment:</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240"/>
              <w:spacing w:after="0"/>
              <w:rPr>
                <w:sz w:val="20"/>
                <w:szCs w:val="20"/>
                <w:color w:val="auto"/>
              </w:rPr>
            </w:pPr>
            <w:r>
              <w:rPr>
                <w:rFonts w:ascii="Arial" w:cs="Arial" w:eastAsia="Arial" w:hAnsi="Arial"/>
                <w:sz w:val="18"/>
                <w:szCs w:val="18"/>
                <w:color w:val="auto"/>
              </w:rPr>
              <w:t>Financial Services</w:t>
            </w:r>
          </w:p>
        </w:tc>
        <w:tc>
          <w:tcPr>
            <w:tcW w:w="260" w:type="dxa"/>
            <w:vAlign w:val="bottom"/>
          </w:tcPr>
          <w:p>
            <w:pPr>
              <w:spacing w:after="0"/>
              <w:rPr>
                <w:sz w:val="19"/>
                <w:szCs w:val="19"/>
                <w:color w:val="auto"/>
              </w:rPr>
            </w:pP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1,478,792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789,009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689,783</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87.4 %</w:t>
            </w: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Benefits and Insurance Services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253,447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249,845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3,602</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4300" w:type="dxa"/>
            <w:vAlign w:val="bottom"/>
            <w:gridSpan w:val="2"/>
          </w:tcPr>
          <w:p>
            <w:pPr>
              <w:ind w:left="240"/>
              <w:spacing w:after="0"/>
              <w:rPr>
                <w:sz w:val="20"/>
                <w:szCs w:val="20"/>
                <w:color w:val="auto"/>
              </w:rPr>
            </w:pPr>
            <w:r>
              <w:rPr>
                <w:rFonts w:ascii="Arial" w:cs="Arial" w:eastAsia="Arial" w:hAnsi="Arial"/>
                <w:sz w:val="18"/>
                <w:szCs w:val="18"/>
                <w:color w:val="auto"/>
              </w:rPr>
              <w:t>National Practices</w:t>
            </w:r>
          </w:p>
        </w:tc>
        <w:tc>
          <w:tcPr>
            <w:tcW w:w="260" w:type="dxa"/>
            <w:vAlign w:val="bottom"/>
          </w:tcPr>
          <w:p>
            <w:pPr>
              <w:spacing w:after="0"/>
              <w:rPr>
                <w:sz w:val="19"/>
                <w:szCs w:val="19"/>
                <w:color w:val="auto"/>
              </w:rPr>
            </w:pP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31,431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35,062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(3,631)</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Corporate and Other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45,518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34,908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10,610</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30.4 %</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1,809,188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1,108,824</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700,364</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63.2 %</w:t>
            </w: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 % of revenue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Operating expenses excluding deferred</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ind w:right="154"/>
              <w:spacing w:after="0"/>
              <w:rPr>
                <w:sz w:val="20"/>
                <w:szCs w:val="20"/>
                <w:color w:val="auto"/>
              </w:rPr>
            </w:pPr>
            <w:r>
              <w:rPr>
                <w:rFonts w:ascii="Arial" w:cs="Arial" w:eastAsia="Arial" w:hAnsi="Arial"/>
                <w:sz w:val="18"/>
                <w:szCs w:val="18"/>
                <w:color w:val="auto"/>
              </w:rPr>
              <w:t>1,792,056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ind w:right="34"/>
              <w:spacing w:after="0"/>
              <w:rPr>
                <w:sz w:val="20"/>
                <w:szCs w:val="20"/>
                <w:color w:val="auto"/>
              </w:rPr>
            </w:pPr>
            <w:r>
              <w:rPr>
                <w:rFonts w:ascii="Arial" w:cs="Arial" w:eastAsia="Arial" w:hAnsi="Arial"/>
                <w:sz w:val="18"/>
                <w:szCs w:val="18"/>
                <w:color w:val="auto"/>
              </w:rPr>
              <w:t>1,090,660</w:t>
            </w:r>
          </w:p>
        </w:tc>
        <w:tc>
          <w:tcPr>
            <w:tcW w:w="12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35"/>
              <w:spacing w:after="0"/>
              <w:rPr>
                <w:sz w:val="20"/>
                <w:szCs w:val="20"/>
                <w:color w:val="auto"/>
              </w:rPr>
            </w:pPr>
            <w:r>
              <w:rPr>
                <w:rFonts w:ascii="Arial" w:cs="Arial" w:eastAsia="Arial" w:hAnsi="Arial"/>
                <w:sz w:val="18"/>
                <w:szCs w:val="18"/>
                <w:color w:val="auto"/>
              </w:rPr>
              <w:t>701,396</w:t>
            </w:r>
          </w:p>
        </w:tc>
        <w:tc>
          <w:tcPr>
            <w:tcW w:w="3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64.3 %</w:t>
            </w:r>
          </w:p>
        </w:tc>
        <w:tc>
          <w:tcPr>
            <w:tcW w:w="0" w:type="dxa"/>
            <w:vAlign w:val="bottom"/>
          </w:tcPr>
          <w:p>
            <w:pPr>
              <w:spacing w:after="0"/>
              <w:rPr>
                <w:sz w:val="1"/>
                <w:szCs w:val="1"/>
                <w:color w:val="auto"/>
              </w:rPr>
            </w:pPr>
          </w:p>
        </w:tc>
      </w:tr>
      <w:tr>
        <w:trPr>
          <w:trHeight w:val="243"/>
        </w:trPr>
        <w:tc>
          <w:tcPr>
            <w:tcW w:w="4300" w:type="dxa"/>
            <w:vAlign w:val="bottom"/>
            <w:gridSpan w:val="2"/>
          </w:tcPr>
          <w:p>
            <w:pPr>
              <w:ind w:left="100"/>
              <w:spacing w:after="0"/>
              <w:rPr>
                <w:sz w:val="20"/>
                <w:szCs w:val="20"/>
                <w:color w:val="auto"/>
              </w:rPr>
            </w:pPr>
            <w:r>
              <w:rPr>
                <w:rFonts w:ascii="Arial" w:cs="Arial" w:eastAsia="Arial" w:hAnsi="Arial"/>
                <w:sz w:val="18"/>
                <w:szCs w:val="18"/>
                <w:color w:val="auto"/>
              </w:rPr>
              <w:t>compensation</w:t>
            </w:r>
          </w:p>
        </w:tc>
        <w:tc>
          <w:tcPr>
            <w:tcW w:w="26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3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Operating expenses excluding deferred</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80.9 %</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80.6 %</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compensation % of revenue</w:t>
            </w:r>
          </w:p>
        </w:tc>
        <w:tc>
          <w:tcPr>
            <w:tcW w:w="2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Three months ended September 30, 2025 compared to September 30, 2024. </w:t>
      </w:r>
      <w:r>
        <w:rPr>
          <w:rFonts w:ascii="Arial" w:cs="Arial" w:eastAsia="Arial" w:hAnsi="Arial"/>
          <w:sz w:val="18"/>
          <w:szCs w:val="18"/>
          <w:color w:val="auto"/>
        </w:rPr>
        <w:t>Total operating expenses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2025 increased by $237.7 million, or 65.0%, to $603.7 million as compared to $366.0 million in the same period in 2024. The deferred compensation plan increased operating expenses by $7.8 million for the three months ended September 30, 2025 and increased operating expenses by $7.3 million in the same period in 2024. Excluding the deferred compensation expenses, which were recorded in "Corporate and Other" for segment reporting purposes, operating expenses would have been $595.8 million and $358.7 million, or 85.9% and 81.7% of revenue, for the three months ended September 30, 2025 and 2024, respectively. In addition, operating expenses for the three months ended September 30, 2025 included approximately $23.2 million of integration costs associated with the Transaction, and the operating expenses for the three months ended September 30, 2024 included approximately $0.6 million of non-recurring integration costs associated with the acquisitions completed in 2024.</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our operating expenses relate to personnel costs, which include (i) salaries and benefits, (ii) commissions paid to producers,</w:t>
      </w:r>
    </w:p>
    <w:p>
      <w:pPr>
        <w:spacing w:after="0" w:line="27" w:lineRule="exact"/>
        <w:rPr>
          <w:sz w:val="20"/>
          <w:szCs w:val="20"/>
          <w:color w:val="auto"/>
        </w:rPr>
      </w:pPr>
    </w:p>
    <w:p>
      <w:pPr>
        <w:ind w:right="80" w:firstLine="8"/>
        <w:spacing w:after="0" w:line="255" w:lineRule="auto"/>
        <w:tabs>
          <w:tab w:leader="none" w:pos="29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incentive compensation, and (iv) stock-based compensation. Excluding the impact of deferred compensation, which was recorded in "Corporate and Other" for segment reporting purposes, operating expenses increased by approximately $237.2 million during the three months ended September 30, 2025 as compared to the same period in 2024, driven by $175.9 million higher personnel costs primarily as a result of the</w:t>
      </w: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51" w:right="419" w:bottom="1440" w:gutter="0" w:footer="0" w:header="0"/>
        </w:sectPr>
      </w:pPr>
    </w:p>
    <w:bookmarkStart w:id="27" w:name="page28"/>
    <w:bookmarkEnd w:id="27"/>
    <w:p>
      <w:pPr>
        <w:spacing w:after="0" w:line="262" w:lineRule="auto"/>
        <w:rPr>
          <w:sz w:val="20"/>
          <w:szCs w:val="20"/>
          <w:color w:val="auto"/>
        </w:rPr>
      </w:pPr>
      <w:r>
        <w:rPr>
          <w:rFonts w:ascii="Arial" w:cs="Arial" w:eastAsia="Arial" w:hAnsi="Arial"/>
          <w:sz w:val="18"/>
          <w:szCs w:val="18"/>
          <w:color w:val="auto"/>
        </w:rPr>
        <w:t>Transaction, $17.1 million higher facility costs, $14.9 million higher depreciation and amortization costs, $10.5 million higher direct costs, $6.5 million higher technology costs, $5.6 million higher professional service costs, $3.3 million higher travel and entertainment costs, $ 1.8 million higher discretionary spending to support business growth, and $1.6 million higher marketing costs. Personnel costs are discussed in further detail under “Operating Practice Groups” below.</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2025 compared to September 30, 2024</w:t>
      </w:r>
      <w:r>
        <w:rPr>
          <w:rFonts w:ascii="Arial" w:cs="Arial" w:eastAsia="Arial" w:hAnsi="Arial"/>
          <w:sz w:val="18"/>
          <w:szCs w:val="18"/>
          <w:color w:val="auto"/>
        </w:rPr>
        <w:t>. Total operating expenses for the nine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2025 increased by $700.4 million, or 63.2%, to $1,809.2 million as compared to $1,108.8 million in the same period in 2024.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deferred compensation plan increased operating expenses by $17.1 million for the nine months ended September 30, 2025 and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$18.2 million during the same period in 2024. Excluding the impact of deferred compensation, which was recorded in "Corporate and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segment reporting purposes, operating expenses would have been $1,792.1 million and $1,090.7 million, or 80.9% and 80.6% of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2025 and 2024, respectively. In addition, operating expense for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2025 included approximately $43.3 million of integration costs associated with the Transaction, and the operating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2024 included approximately $0.9 million of non-recurring integration costs associated with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acquisitions completed in 2024. The increase in operating expense was primarily driven by personnel costs increase of $531.7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primarily as a result of the Transaction, $45.9 million higher depreciation and amortization expense, $40.7 million higher facility costs, $32.3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higher direct costs, $18.5 million higher technology related costs, $12.8 million higher travel and entertainment costs, $12.5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higher professional services costs, and $4.5 million higher marketing costs, as well as $2.5 million higher other discretionary spending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support business growth.</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General &amp; Administrative (“G&amp;A”) Expenses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center"/>
              <w:ind w:right="419"/>
              <w:spacing w:after="0"/>
              <w:rPr>
                <w:sz w:val="20"/>
                <w:szCs w:val="20"/>
                <w:color w:val="auto"/>
              </w:rPr>
            </w:pPr>
            <w:r>
              <w:rPr>
                <w:rFonts w:ascii="Arial" w:cs="Arial" w:eastAsia="Arial" w:hAnsi="Arial"/>
                <w:sz w:val="14"/>
                <w:szCs w:val="14"/>
                <w:b w:val="1"/>
                <w:bCs w:val="1"/>
                <w:color w:val="auto"/>
              </w:rPr>
              <w:t>Three Months Ended September 30,</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2"/>
                <w:szCs w:val="12"/>
                <w:color w:val="auto"/>
              </w:rPr>
            </w:pPr>
          </w:p>
        </w:tc>
        <w:tc>
          <w:tcPr>
            <w:tcW w:w="1340" w:type="dxa"/>
            <w:vAlign w:val="bottom"/>
          </w:tcPr>
          <w:p>
            <w:pPr>
              <w:jc w:val="center"/>
              <w:ind w:right="459"/>
              <w:spacing w:after="0" w:line="143" w:lineRule="exact"/>
              <w:rPr>
                <w:sz w:val="20"/>
                <w:szCs w:val="20"/>
                <w:color w:val="auto"/>
              </w:rPr>
            </w:pPr>
            <w:r>
              <w:rPr>
                <w:rFonts w:ascii="Arial" w:cs="Arial" w:eastAsia="Arial" w:hAnsi="Arial"/>
                <w:sz w:val="14"/>
                <w:szCs w:val="14"/>
                <w:b w:val="1"/>
                <w:bCs w:val="1"/>
                <w:color w:val="auto"/>
              </w:rPr>
              <w:t>$</w:t>
            </w:r>
          </w:p>
        </w:tc>
        <w:tc>
          <w:tcPr>
            <w:tcW w:w="1180" w:type="dxa"/>
            <w:vAlign w:val="bottom"/>
          </w:tcPr>
          <w:p>
            <w:pPr>
              <w:jc w:val="center"/>
              <w:ind w:right="119"/>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59"/>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60" w:type="dxa"/>
            <w:vAlign w:val="bottom"/>
            <w:gridSpan w:val="6"/>
          </w:tcPr>
          <w:p>
            <w:pPr>
              <w:jc w:val="center"/>
              <w:ind w:left="796"/>
              <w:spacing w:after="0"/>
              <w:rPr>
                <w:sz w:val="20"/>
                <w:szCs w:val="20"/>
                <w:color w:val="auto"/>
              </w:rPr>
            </w:pPr>
            <w:r>
              <w:rPr>
                <w:rFonts w:ascii="Arial" w:cs="Arial" w:eastAsia="Arial" w:hAnsi="Arial"/>
                <w:sz w:val="14"/>
                <w:szCs w:val="14"/>
                <w:b w:val="1"/>
                <w:bCs w:val="1"/>
                <w:color w:val="auto"/>
              </w:rPr>
              <w:t>(Amounts in thousands, except percentages)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G&amp;A expenses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31,265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23,227</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8,038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34.6 %</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G&amp;A expenses % of revenue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5.3 %</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G&amp;A expenses excluding deferred compensation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30,189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22,163</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8,026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36.2 %</w:t>
            </w:r>
          </w:p>
        </w:tc>
        <w:tc>
          <w:tcPr>
            <w:tcW w:w="0" w:type="dxa"/>
            <w:vAlign w:val="bottom"/>
          </w:tcPr>
          <w:p>
            <w:pPr>
              <w:spacing w:after="0"/>
              <w:rPr>
                <w:sz w:val="1"/>
                <w:szCs w:val="1"/>
                <w:color w:val="auto"/>
              </w:rPr>
            </w:pPr>
          </w:p>
        </w:tc>
      </w:tr>
      <w:tr>
        <w:trPr>
          <w:trHeight w:val="175"/>
        </w:trPr>
        <w:tc>
          <w:tcPr>
            <w:tcW w:w="4360" w:type="dxa"/>
            <w:vAlign w:val="bottom"/>
          </w:tcPr>
          <w:p>
            <w:pPr>
              <w:ind w:left="20"/>
              <w:spacing w:after="0" w:line="176" w:lineRule="exact"/>
              <w:rPr>
                <w:sz w:val="20"/>
                <w:szCs w:val="20"/>
                <w:color w:val="auto"/>
              </w:rPr>
            </w:pPr>
            <w:r>
              <w:rPr>
                <w:rFonts w:ascii="Arial" w:cs="Arial" w:eastAsia="Arial" w:hAnsi="Arial"/>
                <w:sz w:val="18"/>
                <w:szCs w:val="18"/>
                <w:color w:val="auto"/>
                <w:w w:val="99"/>
              </w:rPr>
              <w:t>G&amp;A expenses excluding deferred compensation % of</w:t>
            </w: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5.0 %</w:t>
            </w: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4360" w:type="dxa"/>
            <w:vAlign w:val="bottom"/>
          </w:tcPr>
          <w:p>
            <w:pPr>
              <w:ind w:left="100"/>
              <w:spacing w:after="0"/>
              <w:rPr>
                <w:sz w:val="20"/>
                <w:szCs w:val="20"/>
                <w:color w:val="auto"/>
              </w:rPr>
            </w:pPr>
            <w:r>
              <w:rPr>
                <w:rFonts w:ascii="Arial" w:cs="Arial" w:eastAsia="Arial" w:hAnsi="Arial"/>
                <w:sz w:val="18"/>
                <w:szCs w:val="18"/>
                <w:color w:val="auto"/>
              </w:rPr>
              <w:t>revenue</w:t>
            </w:r>
          </w:p>
        </w:tc>
        <w:tc>
          <w:tcPr>
            <w:tcW w:w="3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0"/>
        </w:trPr>
        <w:tc>
          <w:tcPr>
            <w:tcW w:w="4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jc w:val="center"/>
              <w:ind w:right="439"/>
              <w:spacing w:after="0"/>
              <w:rPr>
                <w:sz w:val="20"/>
                <w:szCs w:val="20"/>
                <w:color w:val="auto"/>
              </w:rPr>
            </w:pPr>
            <w:r>
              <w:rPr>
                <w:rFonts w:ascii="Arial" w:cs="Arial" w:eastAsia="Arial" w:hAnsi="Arial"/>
                <w:sz w:val="14"/>
                <w:szCs w:val="14"/>
                <w:b w:val="1"/>
                <w:bCs w:val="1"/>
                <w:color w:val="auto"/>
              </w:rPr>
              <w:t>Nine Months Ended September 30,</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2"/>
                <w:szCs w:val="12"/>
                <w:color w:val="auto"/>
              </w:rPr>
            </w:pPr>
          </w:p>
        </w:tc>
        <w:tc>
          <w:tcPr>
            <w:tcW w:w="1340" w:type="dxa"/>
            <w:vAlign w:val="bottom"/>
          </w:tcPr>
          <w:p>
            <w:pPr>
              <w:jc w:val="center"/>
              <w:ind w:right="499"/>
              <w:spacing w:after="0" w:line="147" w:lineRule="exact"/>
              <w:rPr>
                <w:sz w:val="20"/>
                <w:szCs w:val="20"/>
                <w:color w:val="auto"/>
              </w:rPr>
            </w:pPr>
            <w:r>
              <w:rPr>
                <w:rFonts w:ascii="Arial" w:cs="Arial" w:eastAsia="Arial" w:hAnsi="Arial"/>
                <w:sz w:val="14"/>
                <w:szCs w:val="14"/>
                <w:b w:val="1"/>
                <w:bCs w:val="1"/>
                <w:color w:val="auto"/>
              </w:rPr>
              <w:t>$</w:t>
            </w:r>
          </w:p>
        </w:tc>
        <w:tc>
          <w:tcPr>
            <w:tcW w:w="1180" w:type="dxa"/>
            <w:vAlign w:val="bottom"/>
          </w:tcPr>
          <w:p>
            <w:pPr>
              <w:jc w:val="center"/>
              <w:ind w:right="119"/>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4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79"/>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60" w:type="dxa"/>
            <w:vAlign w:val="bottom"/>
            <w:gridSpan w:val="6"/>
          </w:tcPr>
          <w:p>
            <w:pPr>
              <w:jc w:val="center"/>
              <w:ind w:left="756"/>
              <w:spacing w:after="0"/>
              <w:rPr>
                <w:sz w:val="20"/>
                <w:szCs w:val="20"/>
                <w:color w:val="auto"/>
              </w:rPr>
            </w:pPr>
            <w:r>
              <w:rPr>
                <w:rFonts w:ascii="Arial" w:cs="Arial" w:eastAsia="Arial" w:hAnsi="Arial"/>
                <w:sz w:val="14"/>
                <w:szCs w:val="14"/>
                <w:b w:val="1"/>
                <w:bCs w:val="1"/>
                <w:color w:val="auto"/>
              </w:rPr>
              <w:t>(Amounts in thousands, except percentages)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60" w:type="dxa"/>
            <w:vAlign w:val="bottom"/>
            <w:tcBorders>
              <w:right w:val="single" w:sz="8" w:color="CFF0FC"/>
            </w:tcBorders>
            <w:shd w:val="clear" w:color="auto" w:fill="CCEEFF"/>
          </w:tcPr>
          <w:p>
            <w:pPr>
              <w:ind w:left="20"/>
              <w:spacing w:after="0"/>
              <w:rPr>
                <w:sz w:val="20"/>
                <w:szCs w:val="20"/>
                <w:color w:val="auto"/>
              </w:rPr>
            </w:pPr>
            <w:r>
              <w:rPr>
                <w:rFonts w:ascii="Arial" w:cs="Arial" w:eastAsia="Arial" w:hAnsi="Arial"/>
                <w:sz w:val="18"/>
                <w:szCs w:val="18"/>
                <w:color w:val="auto"/>
              </w:rPr>
              <w:t>G&amp;A expenses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86,972</w:t>
            </w:r>
          </w:p>
        </w:tc>
        <w:tc>
          <w:tcPr>
            <w:tcW w:w="120" w:type="dxa"/>
            <w:vAlign w:val="bottom"/>
            <w:shd w:val="clear" w:color="auto" w:fill="CCEEFF"/>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63,988</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22,984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35.9 %</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G&amp;A expenses % of revenue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4.7 %</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Borders>
              <w:right w:val="single" w:sz="8" w:color="CFF0FC"/>
            </w:tcBorders>
            <w:shd w:val="clear" w:color="auto" w:fill="CCEEFF"/>
          </w:tcPr>
          <w:p>
            <w:pPr>
              <w:ind w:left="20"/>
              <w:spacing w:after="0"/>
              <w:rPr>
                <w:sz w:val="20"/>
                <w:szCs w:val="20"/>
                <w:color w:val="auto"/>
              </w:rPr>
            </w:pPr>
            <w:r>
              <w:rPr>
                <w:rFonts w:ascii="Arial" w:cs="Arial" w:eastAsia="Arial" w:hAnsi="Arial"/>
                <w:sz w:val="18"/>
                <w:szCs w:val="18"/>
                <w:color w:val="auto"/>
              </w:rPr>
              <w:t>G&amp;A expenses excluding deferred compensation</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84,557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61,544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23,013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37.4 %</w:t>
            </w:r>
          </w:p>
        </w:tc>
        <w:tc>
          <w:tcPr>
            <w:tcW w:w="0" w:type="dxa"/>
            <w:vAlign w:val="bottom"/>
          </w:tcPr>
          <w:p>
            <w:pPr>
              <w:spacing w:after="0"/>
              <w:rPr>
                <w:sz w:val="1"/>
                <w:szCs w:val="1"/>
                <w:color w:val="auto"/>
              </w:rPr>
            </w:pPr>
          </w:p>
        </w:tc>
      </w:tr>
      <w:tr>
        <w:trPr>
          <w:trHeight w:val="176"/>
        </w:trPr>
        <w:tc>
          <w:tcPr>
            <w:tcW w:w="4360" w:type="dxa"/>
            <w:vAlign w:val="bottom"/>
          </w:tcPr>
          <w:p>
            <w:pPr>
              <w:ind w:left="20"/>
              <w:spacing w:after="0" w:line="176" w:lineRule="exact"/>
              <w:rPr>
                <w:sz w:val="20"/>
                <w:szCs w:val="20"/>
                <w:color w:val="auto"/>
              </w:rPr>
            </w:pPr>
            <w:r>
              <w:rPr>
                <w:rFonts w:ascii="Arial" w:cs="Arial" w:eastAsia="Arial" w:hAnsi="Arial"/>
                <w:sz w:val="18"/>
                <w:szCs w:val="18"/>
                <w:color w:val="auto"/>
              </w:rPr>
              <w:t>G&amp;A expenses excluding deferred compensation %</w:t>
            </w: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4.5 %</w:t>
            </w: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4360" w:type="dxa"/>
            <w:vAlign w:val="bottom"/>
          </w:tcPr>
          <w:p>
            <w:pPr>
              <w:ind w:left="100"/>
              <w:spacing w:after="0"/>
              <w:rPr>
                <w:sz w:val="20"/>
                <w:szCs w:val="20"/>
                <w:color w:val="auto"/>
              </w:rPr>
            </w:pPr>
            <w:r>
              <w:rPr>
                <w:rFonts w:ascii="Arial" w:cs="Arial" w:eastAsia="Arial" w:hAnsi="Arial"/>
                <w:sz w:val="18"/>
                <w:szCs w:val="18"/>
                <w:color w:val="auto"/>
              </w:rPr>
              <w:t>of revenue</w:t>
            </w:r>
          </w:p>
        </w:tc>
        <w:tc>
          <w:tcPr>
            <w:tcW w:w="3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Three months ended September 30, 2025 compared to September 30, 2024. </w:t>
      </w:r>
      <w:r>
        <w:rPr>
          <w:rFonts w:ascii="Arial" w:cs="Arial" w:eastAsia="Arial" w:hAnsi="Arial"/>
          <w:sz w:val="18"/>
          <w:szCs w:val="18"/>
          <w:color w:val="auto"/>
        </w:rPr>
        <w:t>The deferred compensation plan increased G&amp;A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$1.1 million for the three months ended September 30, 2025, and increased G&amp;A expenses by $1.1 million during the same period in 2024. The G&amp;A expenses, excluding the impact of the deferred compensation plan, would have been $30.2 million, or 4.4% of revenue, for the three months ended September 30, 2025, compared to $22.2 million, or 5.0% of revenue, for the same period in 2024, an increase of approximately $8.0 million. The increase was primarily driven by $3.1 million higher personnel costs, $1.8 million higher marketing costs, $1.0 million higher insurance costs, $0.9 million higher other discretionary spending to support business growth, $ 0.8 million higher technology costs, and $0.4 million higher travel and entertainment costs. The G&amp;A expenses for the three months ended September 30, 2025 included approximately $5.4 million of integration costs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8" w:name="page29"/>
    <w:bookmarkEnd w:id="28"/>
    <w:p>
      <w:pPr>
        <w:ind w:right="240"/>
        <w:spacing w:after="0" w:line="287" w:lineRule="auto"/>
        <w:rPr>
          <w:sz w:val="20"/>
          <w:szCs w:val="20"/>
          <w:color w:val="auto"/>
        </w:rPr>
      </w:pPr>
      <w:r>
        <w:rPr>
          <w:rFonts w:ascii="Arial" w:cs="Arial" w:eastAsia="Arial" w:hAnsi="Arial"/>
          <w:sz w:val="18"/>
          <w:szCs w:val="18"/>
          <w:color w:val="auto"/>
        </w:rPr>
        <w:t>primarily associated with the Transaction. For the three months ended September 30, 2024, there were approximately $7.7 million of non-recurring transaction and integration costs associated with the Transaction.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Nine months ended September 30, 2025 compared to September 30, 2024. </w:t>
      </w:r>
      <w:r>
        <w:rPr>
          <w:rFonts w:ascii="Arial" w:cs="Arial" w:eastAsia="Arial" w:hAnsi="Arial"/>
          <w:sz w:val="18"/>
          <w:szCs w:val="18"/>
          <w:color w:val="auto"/>
        </w:rPr>
        <w:t>The deferred compensation plan increased G&amp;A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$2.4 million for the nine months ended September 30, 2025, and increased G&amp;A expenses by $2.4 million during the same period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2024. G&amp;A expenses, excluding the impact of the deferred compensation plan, would have been $84.6 million, or 3.8% of revenue,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2025, compared to $61.5 million, or 4.5% of revenue, for the same period in 2024, an increase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$23.0 million. The increase in G&amp;A expenses was primarily due to approximately $5.9 million higher professional fees, $4.8 million higher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personnel costs, $3.3 million higher marketing costs, $2.8 million higher insurance costs, $1.8 million higher technology costs, $1.6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higher other discretionary spending to support business growth, $1.5 million higher facility costs, and $1.3 higher legal settlement costs.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G&amp;A expenses for the nine months ended September 30, 2025 included approximately $20.2 million of integration costs primarily associated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the Transaction. For the nine months ended September 30, 2024, there were approximately $15.0 million of non-recurring transaction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integration costs associated with the Transaction.</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 September 30,</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ind w:right="536"/>
              <w:spacing w:after="0" w:line="143"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1140" w:type="dxa"/>
            <w:vAlign w:val="bottom"/>
          </w:tcPr>
          <w:p>
            <w:pPr>
              <w:jc w:val="right"/>
              <w:ind w:right="576"/>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60" w:type="dxa"/>
            <w:vAlign w:val="bottom"/>
            <w:gridSpan w:val="7"/>
          </w:tcPr>
          <w:p>
            <w:pPr>
              <w:ind w:left="20"/>
              <w:spacing w:after="0"/>
              <w:rPr>
                <w:sz w:val="20"/>
                <w:szCs w:val="20"/>
                <w:color w:val="auto"/>
              </w:rPr>
            </w:pPr>
            <w:r>
              <w:rPr>
                <w:rFonts w:ascii="Arial" w:cs="Arial" w:eastAsia="Arial" w:hAnsi="Arial"/>
                <w:sz w:val="14"/>
                <w:szCs w:val="14"/>
                <w:b w:val="1"/>
                <w:bCs w:val="1"/>
                <w:color w:val="auto"/>
              </w:rPr>
              <w:t>(Amounts in thousands, except percentages)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ind w:left="436"/>
              <w:spacing w:after="0"/>
              <w:rPr>
                <w:sz w:val="20"/>
                <w:szCs w:val="20"/>
                <w:color w:val="auto"/>
              </w:rPr>
            </w:pPr>
            <w:r>
              <w:rPr>
                <w:rFonts w:ascii="Arial" w:cs="Arial" w:eastAsia="Arial" w:hAnsi="Arial"/>
                <w:sz w:val="18"/>
                <w:szCs w:val="18"/>
                <w:color w:val="auto"/>
              </w:rPr>
              <w:t>(4,968)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(22,992)</w:t>
            </w: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Gain on sale of operations,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left="456"/>
              <w:spacing w:after="0"/>
              <w:rPr>
                <w:sz w:val="20"/>
                <w:szCs w:val="20"/>
                <w:color w:val="auto"/>
              </w:rPr>
            </w:pPr>
            <w:r>
              <w:rPr>
                <w:rFonts w:ascii="Arial" w:cs="Arial" w:eastAsia="Arial" w:hAnsi="Arial"/>
                <w:sz w:val="18"/>
                <w:szCs w:val="18"/>
                <w:color w:val="auto"/>
                <w:w w:val="97"/>
              </w:rPr>
              <w:t>4,953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(3,829)</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income, net </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456"/>
              <w:spacing w:after="0"/>
              <w:rPr>
                <w:sz w:val="20"/>
                <w:szCs w:val="20"/>
                <w:color w:val="auto"/>
              </w:rPr>
            </w:pPr>
            <w:r>
              <w:rPr>
                <w:rFonts w:ascii="Arial" w:cs="Arial" w:eastAsia="Arial" w:hAnsi="Arial"/>
                <w:sz w:val="18"/>
                <w:szCs w:val="18"/>
                <w:color w:val="auto"/>
                <w:w w:val="97"/>
              </w:rPr>
              <w:t>1,300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7,078</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Total other (expense) income,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center"/>
              <w:ind w:left="456"/>
              <w:spacing w:after="0"/>
              <w:rPr>
                <w:sz w:val="20"/>
                <w:szCs w:val="20"/>
                <w:color w:val="auto"/>
              </w:rPr>
            </w:pPr>
            <w:r>
              <w:rPr>
                <w:rFonts w:ascii="Arial" w:cs="Arial" w:eastAsia="Arial" w:hAnsi="Arial"/>
                <w:sz w:val="18"/>
                <w:szCs w:val="18"/>
                <w:color w:val="auto"/>
                <w:w w:val="97"/>
              </w:rPr>
              <w:t>1,285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(19,743)</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660" w:right="80" w:hanging="328"/>
        <w:spacing w:after="0" w:line="255"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8"/>
          <w:szCs w:val="18"/>
          <w:color w:val="auto"/>
        </w:rPr>
        <w:t>Other income, net includes a net gain of $8.9 million during the three months ended September 30, 2025, and a net gain of $8.4 million for the same period in 2024, associated with the value of investments held in a rabbi trust related to the deferred compensation plan, which were recorded in "Corporate and Other" for segment reporting purposes. The adjustments to the investments held in a rabbi trust related to the deferred compensation plan are offset by a corresponding increase or decrease to compensation expense, which is recorded as “Operating expenses” and “G&amp;A expenses.” The deferred compensation plan has no impact on “Income before income tax expense” or diluted earnings per share. In addition, included in other income, net for the three months ended September 30, 2025 and 2024, is expense of $0.5 million and $5.7 million, respectively, related to net changes in the fair value of contingent consideration related to prior acquisitions.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rPr>
              <w:t>Nine Months Ended September 30,</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ind w:right="536"/>
              <w:spacing w:after="0" w:line="147"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1140" w:type="dxa"/>
            <w:vAlign w:val="bottom"/>
          </w:tcPr>
          <w:p>
            <w:pPr>
              <w:jc w:val="right"/>
              <w:ind w:right="576"/>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4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4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rPr>
              <w:t>(Amounts in thousands, except percentages)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(65,620)</w:t>
            </w: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Gain on sale of operations,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(3,829)</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Other income, net </w:t>
            </w:r>
            <w:r>
              <w:rPr>
                <w:rFonts w:ascii="Arial" w:cs="Arial" w:eastAsia="Arial" w:hAnsi="Arial"/>
                <w:sz w:val="10"/>
                <w:szCs w:val="10"/>
                <w:color w:val="auto"/>
              </w:rPr>
              <w:t>(2)</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18,579</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(48,073)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(50,870)</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60" w:hanging="328"/>
        <w:spacing w:after="0" w:line="254" w:lineRule="auto"/>
        <w:tabs>
          <w:tab w:leader="none" w:pos="6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income, net includes a net gain of $19.5 million during the nine months ended September 30, 2025, compared to a net gain of $20.6 million for the same period in 2024, associated with the value of investments held in a rabbi trust related to the deferred compensation plan, which were recorded in "Corporate and Other" for segment reporting purposes. The adjustments to the investments held in a rabbi trust related to the deferred compensation plan are offset by a corresponding increase or decrease to compensation expense, which is recorded as “Operating expenses” and “G&amp;A expenses.” The deferred compensation plan has no impact on “Income before income tax expense” or diluted earnings per share. In addition, included in other income, net for the nine months ended September 30, 2025 and 2024, is expense of $2.0 million and $6.3 million, respectively, related to net changes in the fair value of contingent consideration related to prior acquisitions. As stated in Note 6, Commitments and Contingencies, to the accompanying unaudited condensed consolidated financial statements in the nine months ended September 30, 2025, the Company recorded a gain of $12.5 million from a legal settlement within Other income, net.</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Three and nine months ended September 30, 2025 compared with September 30, 2024. </w:t>
      </w:r>
      <w:r>
        <w:rPr>
          <w:rFonts w:ascii="Arial" w:cs="Arial" w:eastAsia="Arial" w:hAnsi="Arial"/>
          <w:sz w:val="18"/>
          <w:szCs w:val="18"/>
          <w:color w:val="auto"/>
        </w:rPr>
        <w:t>During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2025, our average debt balance and weighted average effective interest rate were $1,554.7 million and 6.62%, respectively, compared to $350.7 million and 5.37%, respectively, for the same period in 2024. The increase in interest expense of $23.0 million for the three months ended September 30, 2025 as compared to the same period in 2024 was primarily driven by the higher average debt balance as well as higher weighted average effective interest rate associated with the 2024 Credit Facilities which was entered into on November 1, 2024.</w:t>
      </w:r>
    </w:p>
    <w:p>
      <w:pPr>
        <w:spacing w:after="0" w:line="11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During the nine months ended September 30, 2025, our average debt balance and interest rate were $1,513.9 million and 6.64%, respectively, compared to $362.1 million and 5.40%, respectively, for the same period in 2024. The increase in interest expense for the nine months ended September 30, 2025 as compared to the same period in 2024 was $65.6 million. This was primarily driven by the higher average debt balance as well as higher weighted</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6"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average effective interest rate associated with the 2024 Credit Facilities which was entered into on November 1, 2024.</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indebtedness is further discussed in Note 5, Debt and Financing Arrangements, to the accompanying unaudited condensed consolidated financial statements.</w:t>
      </w:r>
    </w:p>
    <w:p>
      <w:pPr>
        <w:spacing w:after="0" w:line="8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5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 xml:space="preserve">Three and nine months ended September 30, 2025 compared with September 30, 2024. </w:t>
      </w:r>
      <w:r>
        <w:rPr>
          <w:rFonts w:ascii="Arial" w:cs="Arial" w:eastAsia="Arial" w:hAnsi="Arial"/>
          <w:sz w:val="18"/>
          <w:szCs w:val="18"/>
          <w:color w:val="auto"/>
        </w:rPr>
        <w:t>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2025, other income, net includes a net gain of $8.9 million associated with the deferred compensation plan. For the same period in 2024, other income, net includes a net gain of $8.4 million associated with the deferred compensation plan. Excluding the impact of the deferred compensation plan, the other income, net would have been a $ 0.5 million loss for the three months ended September 30, 2025 and a $7.1 million loss for the same period in 2024. The decrease in other expense, net was primarily attributed to a $5.3 million assumed contingent purchase price liability during the three months ended September 30, 2024, which did not recur in 2025. Other miscellaneous expenses, net, decreased by $1.3 million in 2025 as compared to 2024.</w:t>
      </w:r>
    </w:p>
    <w:p>
      <w:pPr>
        <w:spacing w:after="0" w:line="1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nine months ended September 30, 2025, other income, net includes a net gain of $19.5 million associated with the non-qualified deferred compensation plan. For the same period in 2024, other income, net includes a net gain of $20.6 million associated with the non-qualified deferred compensation plan. Excluding the impact of the deferred compensation plan from other income, net would result in an increase of $19.6 million for the nine months ended September 30, 2025 compared to the same period in 2024. The increase was primarily due to a $12.5 million legal settlement gain, $1.4 million of higher interest income, and $1.3 million of higher other miscellaneous income, net. In addition, we recorded a $5.3 million assumed contingent purchase price liability in 2024, which did not recur in 2025, as a result, the expenses associated with the contingent earnout decreased by $4.4 million in 2025 as compared to 2024.</w:t>
      </w:r>
    </w:p>
    <w:p>
      <w:pPr>
        <w:spacing w:after="0" w:line="11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Further discussion related to the legal settlement is included in Note 6, Commitments and Contingencies, to the accompanying unaudited condensed financial statements.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2"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center"/>
              <w:ind w:right="442"/>
              <w:spacing w:after="0"/>
              <w:rPr>
                <w:sz w:val="20"/>
                <w:szCs w:val="20"/>
                <w:color w:val="auto"/>
              </w:rPr>
            </w:pPr>
            <w:r>
              <w:rPr>
                <w:rFonts w:ascii="Arial" w:cs="Arial" w:eastAsia="Arial" w:hAnsi="Arial"/>
                <w:sz w:val="14"/>
                <w:szCs w:val="14"/>
                <w:b w:val="1"/>
                <w:bCs w:val="1"/>
                <w:color w:val="auto"/>
              </w:rPr>
              <w:t>Three Months Ended September 30,</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2025</w:t>
            </w:r>
          </w:p>
        </w:tc>
        <w:tc>
          <w:tcPr>
            <w:tcW w:w="400" w:type="dxa"/>
            <w:vAlign w:val="bottom"/>
          </w:tcPr>
          <w:p>
            <w:pPr>
              <w:spacing w:after="0"/>
              <w:rPr>
                <w:sz w:val="12"/>
                <w:szCs w:val="12"/>
                <w:color w:val="auto"/>
              </w:rPr>
            </w:pPr>
          </w:p>
        </w:tc>
        <w:tc>
          <w:tcPr>
            <w:tcW w:w="134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2"/>
                <w:szCs w:val="12"/>
                <w:color w:val="auto"/>
              </w:rPr>
            </w:pPr>
          </w:p>
        </w:tc>
        <w:tc>
          <w:tcPr>
            <w:tcW w:w="1360" w:type="dxa"/>
            <w:vAlign w:val="bottom"/>
          </w:tcPr>
          <w:p>
            <w:pPr>
              <w:jc w:val="center"/>
              <w:ind w:right="482"/>
              <w:spacing w:after="0" w:line="143" w:lineRule="exact"/>
              <w:rPr>
                <w:sz w:val="20"/>
                <w:szCs w:val="20"/>
                <w:color w:val="auto"/>
              </w:rPr>
            </w:pPr>
            <w:r>
              <w:rPr>
                <w:rFonts w:ascii="Arial" w:cs="Arial" w:eastAsia="Arial" w:hAnsi="Arial"/>
                <w:sz w:val="14"/>
                <w:szCs w:val="14"/>
                <w:b w:val="1"/>
                <w:bCs w:val="1"/>
                <w:color w:val="auto"/>
              </w:rPr>
              <w:t>$</w:t>
            </w:r>
          </w:p>
        </w:tc>
        <w:tc>
          <w:tcPr>
            <w:tcW w:w="1200" w:type="dxa"/>
            <w:vAlign w:val="bottom"/>
          </w:tcPr>
          <w:p>
            <w:pPr>
              <w:jc w:val="center"/>
              <w:ind w:right="142"/>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82"/>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0" w:type="dxa"/>
            <w:vAlign w:val="bottom"/>
            <w:gridSpan w:val="4"/>
          </w:tcPr>
          <w:p>
            <w:pPr>
              <w:jc w:val="center"/>
              <w:ind w:right="42"/>
              <w:spacing w:after="0"/>
              <w:rPr>
                <w:sz w:val="20"/>
                <w:szCs w:val="20"/>
                <w:color w:val="auto"/>
              </w:rPr>
            </w:pPr>
            <w:r>
              <w:rPr>
                <w:rFonts w:ascii="Arial" w:cs="Arial" w:eastAsia="Arial" w:hAnsi="Arial"/>
                <w:sz w:val="14"/>
                <w:szCs w:val="14"/>
                <w:b w:val="1"/>
                <w:bCs w:val="1"/>
                <w:color w:val="auto"/>
              </w:rPr>
              <w:t>(Amounts in thousands, except percentages)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10,260</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rPr>
              <w:t>15,887</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262"/>
              <w:spacing w:after="0"/>
              <w:rPr>
                <w:sz w:val="20"/>
                <w:szCs w:val="20"/>
                <w:color w:val="auto"/>
              </w:rPr>
            </w:pPr>
            <w:r>
              <w:rPr>
                <w:rFonts w:ascii="Arial" w:cs="Arial" w:eastAsia="Arial" w:hAnsi="Arial"/>
                <w:sz w:val="18"/>
                <w:szCs w:val="18"/>
                <w:color w:val="auto"/>
              </w:rPr>
              <w:t>(5,627)</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9"/>
        </w:trPr>
        <w:tc>
          <w:tcPr>
            <w:tcW w:w="43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340" w:type="dxa"/>
            <w:vAlign w:val="bottom"/>
          </w:tcPr>
          <w:p>
            <w:pPr>
              <w:spacing w:after="0"/>
              <w:rPr>
                <w:sz w:val="20"/>
                <w:szCs w:val="20"/>
                <w:color w:val="auto"/>
              </w:rPr>
            </w:pPr>
          </w:p>
        </w:tc>
        <w:tc>
          <w:tcPr>
            <w:tcW w:w="1360" w:type="dxa"/>
            <w:vAlign w:val="bottom"/>
            <w:gridSpan w:val="2"/>
          </w:tcPr>
          <w:p>
            <w:pPr>
              <w:jc w:val="right"/>
              <w:ind w:right="199"/>
              <w:spacing w:after="0"/>
              <w:rPr>
                <w:sz w:val="20"/>
                <w:szCs w:val="20"/>
                <w:color w:val="auto"/>
              </w:rPr>
            </w:pPr>
            <w:r>
              <w:rPr>
                <w:rFonts w:ascii="Arial" w:cs="Arial" w:eastAsia="Arial" w:hAnsi="Arial"/>
                <w:sz w:val="18"/>
                <w:szCs w:val="18"/>
                <w:color w:val="auto"/>
              </w:rPr>
              <w:t>25.4 %</w:t>
            </w:r>
          </w:p>
        </w:tc>
        <w:tc>
          <w:tcPr>
            <w:tcW w:w="1340" w:type="dxa"/>
            <w:vAlign w:val="bottom"/>
          </w:tcPr>
          <w:p>
            <w:pPr>
              <w:jc w:val="right"/>
              <w:spacing w:after="0"/>
              <w:rPr>
                <w:sz w:val="20"/>
                <w:szCs w:val="20"/>
                <w:color w:val="auto"/>
              </w:rPr>
            </w:pPr>
            <w:r>
              <w:rPr>
                <w:rFonts w:ascii="Arial" w:cs="Arial" w:eastAsia="Arial" w:hAnsi="Arial"/>
                <w:sz w:val="18"/>
                <w:szCs w:val="18"/>
                <w:color w:val="auto"/>
              </w:rPr>
              <w:t>31.2 %</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1"/>
        </w:trPr>
        <w:tc>
          <w:tcPr>
            <w:tcW w:w="4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jc w:val="center"/>
              <w:ind w:right="442"/>
              <w:spacing w:after="0"/>
              <w:rPr>
                <w:sz w:val="20"/>
                <w:szCs w:val="20"/>
                <w:color w:val="auto"/>
              </w:rPr>
            </w:pPr>
            <w:r>
              <w:rPr>
                <w:rFonts w:ascii="Arial" w:cs="Arial" w:eastAsia="Arial" w:hAnsi="Arial"/>
                <w:sz w:val="14"/>
                <w:szCs w:val="14"/>
                <w:b w:val="1"/>
                <w:bCs w:val="1"/>
                <w:color w:val="auto"/>
              </w:rPr>
              <w:t>Nine Months Ended September 30,</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2025</w:t>
            </w:r>
          </w:p>
        </w:tc>
        <w:tc>
          <w:tcPr>
            <w:tcW w:w="400" w:type="dxa"/>
            <w:vAlign w:val="bottom"/>
          </w:tcPr>
          <w:p>
            <w:pPr>
              <w:spacing w:after="0"/>
              <w:rPr>
                <w:sz w:val="12"/>
                <w:szCs w:val="12"/>
                <w:color w:val="auto"/>
              </w:rPr>
            </w:pPr>
          </w:p>
        </w:tc>
        <w:tc>
          <w:tcPr>
            <w:tcW w:w="134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2"/>
                <w:szCs w:val="12"/>
                <w:color w:val="auto"/>
              </w:rPr>
            </w:pPr>
          </w:p>
        </w:tc>
        <w:tc>
          <w:tcPr>
            <w:tcW w:w="1360" w:type="dxa"/>
            <w:vAlign w:val="bottom"/>
          </w:tcPr>
          <w:p>
            <w:pPr>
              <w:jc w:val="center"/>
              <w:ind w:right="482"/>
              <w:spacing w:after="0" w:line="147" w:lineRule="exact"/>
              <w:rPr>
                <w:sz w:val="20"/>
                <w:szCs w:val="20"/>
                <w:color w:val="auto"/>
              </w:rPr>
            </w:pPr>
            <w:r>
              <w:rPr>
                <w:rFonts w:ascii="Arial" w:cs="Arial" w:eastAsia="Arial" w:hAnsi="Arial"/>
                <w:sz w:val="14"/>
                <w:szCs w:val="14"/>
                <w:b w:val="1"/>
                <w:bCs w:val="1"/>
                <w:color w:val="auto"/>
              </w:rPr>
              <w:t>$</w:t>
            </w:r>
          </w:p>
        </w:tc>
        <w:tc>
          <w:tcPr>
            <w:tcW w:w="1200" w:type="dxa"/>
            <w:vAlign w:val="bottom"/>
          </w:tcPr>
          <w:p>
            <w:pPr>
              <w:jc w:val="center"/>
              <w:ind w:right="142"/>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82"/>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0" w:type="dxa"/>
            <w:vAlign w:val="bottom"/>
            <w:gridSpan w:val="4"/>
          </w:tcPr>
          <w:p>
            <w:pPr>
              <w:jc w:val="center"/>
              <w:ind w:right="42"/>
              <w:spacing w:after="0"/>
              <w:rPr>
                <w:sz w:val="20"/>
                <w:szCs w:val="20"/>
                <w:color w:val="auto"/>
              </w:rPr>
            </w:pPr>
            <w:r>
              <w:rPr>
                <w:rFonts w:ascii="Arial" w:cs="Arial" w:eastAsia="Arial" w:hAnsi="Arial"/>
                <w:sz w:val="14"/>
                <w:szCs w:val="14"/>
                <w:b w:val="1"/>
                <w:bCs w:val="1"/>
                <w:color w:val="auto"/>
              </w:rPr>
              <w:t>(Amounts in thousands, except percentages)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76,234</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rPr>
              <w:t>51,417</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22"/>
              <w:spacing w:after="0"/>
              <w:rPr>
                <w:sz w:val="20"/>
                <w:szCs w:val="20"/>
                <w:color w:val="auto"/>
              </w:rPr>
            </w:pPr>
            <w:r>
              <w:rPr>
                <w:rFonts w:ascii="Arial" w:cs="Arial" w:eastAsia="Arial" w:hAnsi="Arial"/>
                <w:sz w:val="18"/>
                <w:szCs w:val="18"/>
                <w:color w:val="auto"/>
              </w:rPr>
              <w:t>24,817</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48.3 %</w:t>
            </w:r>
          </w:p>
        </w:tc>
        <w:tc>
          <w:tcPr>
            <w:tcW w:w="0" w:type="dxa"/>
            <w:vAlign w:val="bottom"/>
          </w:tcPr>
          <w:p>
            <w:pPr>
              <w:spacing w:after="0"/>
              <w:rPr>
                <w:sz w:val="1"/>
                <w:szCs w:val="1"/>
                <w:color w:val="auto"/>
              </w:rPr>
            </w:pPr>
          </w:p>
        </w:tc>
      </w:tr>
      <w:tr>
        <w:trPr>
          <w:trHeight w:val="239"/>
        </w:trPr>
        <w:tc>
          <w:tcPr>
            <w:tcW w:w="43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340" w:type="dxa"/>
            <w:vAlign w:val="bottom"/>
          </w:tcPr>
          <w:p>
            <w:pPr>
              <w:spacing w:after="0"/>
              <w:rPr>
                <w:sz w:val="20"/>
                <w:szCs w:val="20"/>
                <w:color w:val="auto"/>
              </w:rPr>
            </w:pPr>
          </w:p>
        </w:tc>
        <w:tc>
          <w:tcPr>
            <w:tcW w:w="1360" w:type="dxa"/>
            <w:vAlign w:val="bottom"/>
            <w:gridSpan w:val="2"/>
          </w:tcPr>
          <w:p>
            <w:pPr>
              <w:jc w:val="right"/>
              <w:ind w:right="199"/>
              <w:spacing w:after="0"/>
              <w:rPr>
                <w:sz w:val="20"/>
                <w:szCs w:val="20"/>
                <w:color w:val="auto"/>
              </w:rPr>
            </w:pPr>
            <w:r>
              <w:rPr>
                <w:rFonts w:ascii="Arial" w:cs="Arial" w:eastAsia="Arial" w:hAnsi="Arial"/>
                <w:sz w:val="18"/>
                <w:szCs w:val="18"/>
                <w:color w:val="auto"/>
              </w:rPr>
              <w:t>28.1 %</w:t>
            </w:r>
          </w:p>
        </w:tc>
        <w:tc>
          <w:tcPr>
            <w:tcW w:w="1340" w:type="dxa"/>
            <w:vAlign w:val="bottom"/>
          </w:tcPr>
          <w:p>
            <w:pPr>
              <w:jc w:val="right"/>
              <w:spacing w:after="0"/>
              <w:rPr>
                <w:sz w:val="20"/>
                <w:szCs w:val="20"/>
                <w:color w:val="auto"/>
              </w:rPr>
            </w:pPr>
            <w:r>
              <w:rPr>
                <w:rFonts w:ascii="Arial" w:cs="Arial" w:eastAsia="Arial" w:hAnsi="Arial"/>
                <w:sz w:val="18"/>
                <w:szCs w:val="18"/>
                <w:color w:val="auto"/>
              </w:rPr>
              <w:t>28.1 %</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 xml:space="preserve">Three and nine months ended September 30, 2025 compared with September 30, 2024. </w:t>
      </w:r>
      <w:r>
        <w:rPr>
          <w:rFonts w:ascii="Arial" w:cs="Arial" w:eastAsia="Arial" w:hAnsi="Arial"/>
          <w:sz w:val="18"/>
          <w:szCs w:val="18"/>
          <w:color w:val="auto"/>
        </w:rPr>
        <w:t>The effective tax rate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2025 was 25.4%, compared to an effective tax rate of 31.2% for the comparable period in 2024. The decrease in the effective tax rate for the three month period ended September 30, 2025 was primarily due to a higher tax benefit recognized related to stock based compensation expense along with lower state income tax expense during the third quarter of 2025 compared to the same period in 2024. These items favorably affected the tax rate as related to pre-tax income for the three months ended September 30, 2025 when compared to the same period in 2024. The decrease in income tax expense for the three months ended September 30, 2025, when compared to the same period in 2024, was primarily driven by the decrease in pre-tax income in 2025, along with the aforementioned favorable items.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1" w:name="page32"/>
    <w:bookmarkEnd w:id="31"/>
    <w:p>
      <w:pPr>
        <w:jc w:val="both"/>
        <w:ind w:right="160"/>
        <w:spacing w:after="0" w:line="253" w:lineRule="auto"/>
        <w:rPr>
          <w:sz w:val="20"/>
          <w:szCs w:val="20"/>
          <w:color w:val="auto"/>
        </w:rPr>
      </w:pPr>
      <w:r>
        <w:rPr>
          <w:rFonts w:ascii="Arial" w:cs="Arial" w:eastAsia="Arial" w:hAnsi="Arial"/>
          <w:sz w:val="18"/>
          <w:szCs w:val="18"/>
          <w:color w:val="auto"/>
        </w:rPr>
        <w:t>The effective tax rate for the nine months ended September 30, 2025 was 28.1%, compared to an effective tax rate of 28.1% for the same period in 2024. The increase in income tax expense for the nine months ended September 30, 2025, when compared to the same period in 2024, was primarily driven by the increase in pre-tax income in 2025.</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Practice Groups</w:t>
      </w:r>
    </w:p>
    <w:p>
      <w:pPr>
        <w:spacing w:after="0" w:line="115"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We deliver our integrated services through three practice groups: Financial Services, Benefits and Insurance Services, and National Practices. A description of these groups' operating results and factors affecting their businesses is provided below.</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Services</w:t>
      </w:r>
    </w:p>
    <w:p>
      <w:pPr>
        <w:spacing w:after="0" w:line="138"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95"/>
              <w:spacing w:after="0" w:line="147"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515"/>
              <w:spacing w:after="0" w:line="147"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Change</w:t>
            </w:r>
          </w:p>
        </w:tc>
        <w:tc>
          <w:tcPr>
            <w:tcW w:w="12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gridSpan w:val="12"/>
          </w:tcPr>
          <w:p>
            <w:pPr>
              <w:spacing w:after="0"/>
              <w:rPr>
                <w:sz w:val="20"/>
                <w:szCs w:val="20"/>
                <w:color w:val="auto"/>
              </w:rPr>
            </w:pPr>
            <w:r>
              <w:rPr>
                <w:rFonts w:ascii="Arial" w:cs="Arial" w:eastAsia="Arial" w:hAnsi="Arial"/>
                <w:sz w:val="14"/>
                <w:szCs w:val="14"/>
                <w:b w:val="1"/>
                <w:bCs w:val="1"/>
                <w:color w:val="auto"/>
              </w:rPr>
              <w:t>(Amounts in thousands, except percentages)</w:t>
            </w: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578,522</w:t>
            </w:r>
          </w:p>
        </w:tc>
        <w:tc>
          <w:tcPr>
            <w:tcW w:w="3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322,295</w:t>
            </w:r>
          </w:p>
        </w:tc>
        <w:tc>
          <w:tcPr>
            <w:tcW w:w="2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256,227</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79.5 %</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expenses</w:t>
            </w: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483,841</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260,639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223,202</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85.6 %</w:t>
            </w:r>
          </w:p>
        </w:tc>
        <w:tc>
          <w:tcPr>
            <w:tcW w:w="0" w:type="dxa"/>
            <w:vAlign w:val="bottom"/>
          </w:tcPr>
          <w:p>
            <w:pPr>
              <w:spacing w:after="0"/>
              <w:rPr>
                <w:sz w:val="1"/>
                <w:szCs w:val="1"/>
                <w:color w:val="auto"/>
              </w:rPr>
            </w:pPr>
          </w:p>
        </w:tc>
      </w:tr>
      <w:tr>
        <w:trPr>
          <w:trHeight w:val="223"/>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margin / Operating income</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94,681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61,656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33,025</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53.6 %</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other (expense) income, net</w:t>
            </w: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(634)</w:t>
            </w:r>
          </w:p>
        </w:tc>
        <w:tc>
          <w:tcPr>
            <w:tcW w:w="2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94,062</w:t>
            </w:r>
          </w:p>
        </w:tc>
        <w:tc>
          <w:tcPr>
            <w:tcW w:w="10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61,671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32,391</w:t>
            </w:r>
          </w:p>
        </w:tc>
        <w:tc>
          <w:tcPr>
            <w:tcW w:w="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Gross margin percent</w:t>
            </w: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16.4 %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19.1 %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1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515"/>
              <w:spacing w:after="0" w:line="143"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555"/>
              <w:spacing w:after="0" w:line="143"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ind w:left="100"/>
              <w:spacing w:after="0"/>
              <w:rPr>
                <w:sz w:val="20"/>
                <w:szCs w:val="20"/>
                <w:color w:val="auto"/>
              </w:rPr>
            </w:pPr>
            <w:r>
              <w:rPr>
                <w:rFonts w:ascii="Arial" w:cs="Arial" w:eastAsia="Arial" w:hAnsi="Arial"/>
                <w:sz w:val="14"/>
                <w:szCs w:val="14"/>
                <w:b w:val="1"/>
                <w:bCs w:val="1"/>
                <w:color w:val="auto"/>
              </w:rPr>
              <w:t>Change</w:t>
            </w: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3380" w:type="dxa"/>
            <w:vAlign w:val="bottom"/>
            <w:tcBorders>
              <w:top w:val="single" w:sz="8" w:color="auto"/>
            </w:tcBorders>
            <w:gridSpan w:val="13"/>
          </w:tcPr>
          <w:p>
            <w:pPr>
              <w:ind w:left="40"/>
              <w:spacing w:after="0"/>
              <w:rPr>
                <w:sz w:val="20"/>
                <w:szCs w:val="20"/>
                <w:color w:val="auto"/>
              </w:rPr>
            </w:pPr>
            <w:r>
              <w:rPr>
                <w:rFonts w:ascii="Arial" w:cs="Arial" w:eastAsia="Arial" w:hAnsi="Arial"/>
                <w:sz w:val="14"/>
                <w:szCs w:val="14"/>
                <w:b w:val="1"/>
                <w:bCs w:val="1"/>
                <w:color w:val="auto"/>
              </w:rPr>
              <w:t>(Amounts in thousands, except percentages)</w:t>
            </w:r>
          </w:p>
        </w:tc>
        <w:tc>
          <w:tcPr>
            <w:tcW w:w="11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1,862,002</w:t>
            </w:r>
          </w:p>
        </w:tc>
        <w:tc>
          <w:tcPr>
            <w:tcW w:w="3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1,004,158</w:t>
            </w:r>
          </w:p>
        </w:tc>
        <w:tc>
          <w:tcPr>
            <w:tcW w:w="2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857,844</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1,478,792</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789,009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689,783</w:t>
            </w: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87.4 %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 Operating income</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383,210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215,149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168,061</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income, net</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229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382,750</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215,378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167,372</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margin percent</w:t>
            </w: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200" w:type="dxa"/>
            <w:vAlign w:val="bottom"/>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20.6 %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21.4 %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2025 compared to September 30, 2024.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Financial Services practice group revenue for the three months ended September 30, 2025 grew by 79.5% to $578.5 million from $322.3 million during the same period in 2024. This increase of $256.2 million was primarily the result of the Transaction and was across almost all service lines. When compared to the same period in 2024, revenue from traditional accounting and tax-related services increased by $226.0 million, revenue from advisory services increased by $23.3 million, and revenue from national technology services increased by $8.6 million. Revenue from government healthcare consulting services remained relatively consistent.</w:t>
      </w:r>
    </w:p>
    <w:p>
      <w:pPr>
        <w:spacing w:after="0" w:line="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provide a range of services to affiliated CPA firms under joint referral and administrative service agreements (“ASAs”). Fees earned under the ASAs are recorded as revenue in the accompanying Condensed Consolidated Statements of Comprehensive Income and were approximately $130.3 million and $60.9 million for the three months ended September 30, 2025 and 2024,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Operating expenses for the three months ended September 30, 2025 increased by $223.2 million, or 85.6%, as compared to the same period in 2024. Personnel costs increased by $171.1 million, of which acquisitions contributed approximately $161.3 million to the increase. Compared to the same period in 2024, depreciation and amortization costs, direct costs, facility costs, technology costs, professional services costs, travel and entertainment costs, marketing costs, other discretionary spending to support business growth, and office expenses increased by approximately $15.3 million, $11.0 million, $11.0 million, $6.0 million, $3.6 million, $2.4 million, $1.5</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2" w:name="page33"/>
    <w:bookmarkEnd w:id="32"/>
    <w:p>
      <w:pPr>
        <w:ind w:right="120"/>
        <w:spacing w:after="0" w:line="287" w:lineRule="auto"/>
        <w:rPr>
          <w:sz w:val="20"/>
          <w:szCs w:val="20"/>
          <w:color w:val="auto"/>
        </w:rPr>
      </w:pPr>
      <w:r>
        <w:rPr>
          <w:rFonts w:ascii="Arial" w:cs="Arial" w:eastAsia="Arial" w:hAnsi="Arial"/>
          <w:sz w:val="18"/>
          <w:szCs w:val="18"/>
          <w:color w:val="auto"/>
        </w:rPr>
        <w:t>million, $0.8 million, and $0.5 million, respectively. Operating expenses as a percentage of revenue increased to 83.6% for the three months ended September 30, 2025 from 80.9% of revenue for the same period in 2024.</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2025 compared to September 30,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for the nine months ended September 30, 2025 grew by 85.4% to $1,862.0 million from $ 1,004.2 million during the same period in 2024. This increase of $ 857.8 million was primarily the result of the Transaction and was across all service lines. As compared to the same period in 2024, revenue from the traditional accounting and tax-related services increased by $738.1 million, revenue from advisory services increased by $80.0 million, revenue from national technology increased by $37.2 million, and revenue from government healthcare consulting services increased by approximately $3.0 million.</w:t>
      </w:r>
    </w:p>
    <w:p>
      <w:pPr>
        <w:spacing w:after="0" w:line="44"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Fees earned under the ASAs, as described above, were approximately $529.1 million and $217.7 million for the nine months ended September 30, 2025 and 2024,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Operating expenses for the nine months ended September 30, 2025 increased by $689.8 million, or 87.4%, as compared to the same period last year. Personnel costs increased by $530.8 million, of which acquisitions contributed approximately $519.2 million to the increase. Compared to the same period in 2024, depreciation and amortization costs, direct costs, facility costs, technology costs, professional services costs, travel and entertainment costs, marketing costs, and employee costs increased by approximately $46.9 million, $36.8 million, $34.5 million, $17.5 million, $8.1 million, $5.6 million, $ 5.1 million, and $ 2.6 million, respectively. In addition, other discretionary costs increased by approximately $1.9 million to support the business growth. Operating expense as a percentage of revenue increased to 79.4% during the nine months ended September 30, 2025 from 78.6% of revenue during the same period in 2024.</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and Insurance Services</w:t>
      </w:r>
    </w:p>
    <w:p>
      <w:pPr>
        <w:spacing w:after="0" w:line="152"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4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jc w:val="center"/>
              <w:ind w:right="500"/>
              <w:spacing w:after="0"/>
              <w:rPr>
                <w:sz w:val="20"/>
                <w:szCs w:val="20"/>
                <w:color w:val="auto"/>
              </w:rPr>
            </w:pPr>
            <w:r>
              <w:rPr>
                <w:rFonts w:ascii="Arial" w:cs="Arial" w:eastAsia="Arial" w:hAnsi="Arial"/>
                <w:sz w:val="14"/>
                <w:szCs w:val="14"/>
                <w:b w:val="1"/>
                <w:bCs w:val="1"/>
                <w:color w:val="auto"/>
              </w:rPr>
              <w:t>Three Months Ended September 30,</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35"/>
              <w:spacing w:after="0" w:line="147"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jc w:val="center"/>
              <w:ind w:right="115"/>
              <w:spacing w:after="0" w:line="147"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rPr>
              <w:t>(Amounts in thousands, except percentages)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103,387</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104,040</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84,082</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82,965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 Operating income</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19,305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21,075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net</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19,347</w:t>
            </w: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21,077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margin percent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18.7 %</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20.3 %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43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center"/>
              <w:ind w:right="500"/>
              <w:spacing w:after="0"/>
              <w:rPr>
                <w:sz w:val="20"/>
                <w:szCs w:val="20"/>
                <w:color w:val="auto"/>
              </w:rPr>
            </w:pPr>
            <w:r>
              <w:rPr>
                <w:rFonts w:ascii="Arial" w:cs="Arial" w:eastAsia="Arial" w:hAnsi="Arial"/>
                <w:sz w:val="14"/>
                <w:szCs w:val="14"/>
                <w:b w:val="1"/>
                <w:bCs w:val="1"/>
                <w:color w:val="auto"/>
              </w:rPr>
              <w:t>Nine Months Ended September 30,</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75"/>
              <w:spacing w:after="0" w:line="147"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jc w:val="center"/>
              <w:ind w:right="135"/>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rPr>
              <w:t>(Amounts in thousands, except percentages)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318,292</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309,867</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8,425</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253,447</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249,845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w:t>
            </w: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 Operating income</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64,845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60,022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net</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415</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65,260</w:t>
            </w: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60,111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margin percent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20.4 %</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19.4 %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2025 compared to September 30, 2024.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Benefits and Insurance Services practice group revenue for the three months ended September 30, 2025 remained relatively unchanged when compared to the same period in 2024. Revenue for the three month period ended September 30, 2025 increased by $2.3 million from payroll and human capital related services and increased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3" w:name="page34"/>
    <w:bookmarkEnd w:id="33"/>
    <w:p>
      <w:pPr>
        <w:ind w:right="220"/>
        <w:spacing w:after="0" w:line="287" w:lineRule="auto"/>
        <w:rPr>
          <w:sz w:val="20"/>
          <w:szCs w:val="20"/>
          <w:color w:val="auto"/>
        </w:rPr>
      </w:pPr>
      <w:r>
        <w:rPr>
          <w:rFonts w:ascii="Arial" w:cs="Arial" w:eastAsia="Arial" w:hAnsi="Arial"/>
          <w:sz w:val="18"/>
          <w:szCs w:val="18"/>
          <w:color w:val="auto"/>
        </w:rPr>
        <w:t>by $ 0.3 million in employee benefit and retirement benefit service lines. This increase was offset by a $3.2 million decrease in the property and casualty services revenue.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expenses for the three months ended September 30, 2025 increased by $ 1.1 million, or 1.3%, when compared to the same period in 2024. The increase was primarily driven by direct costs and professional services, which increased by $1.3 million and $0.2 million, respectively, when compared to the same period in 2024. The increase was offset with a decrease of approximately $0.4 million of depreciation and amortization expense. Operating expenses as a percentage of revenue increased to 81.3% for the quarter ended September 30, 2025 from 79.7% of revenue for the same period in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2025 compared to September 30, 2024.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jc w:val="both"/>
        <w:ind w:right="320"/>
        <w:spacing w:after="0" w:line="262" w:lineRule="auto"/>
        <w:rPr>
          <w:sz w:val="20"/>
          <w:szCs w:val="20"/>
          <w:color w:val="auto"/>
        </w:rPr>
      </w:pPr>
      <w:r>
        <w:rPr>
          <w:rFonts w:ascii="Arial" w:cs="Arial" w:eastAsia="Arial" w:hAnsi="Arial"/>
          <w:sz w:val="18"/>
          <w:szCs w:val="18"/>
          <w:color w:val="auto"/>
        </w:rPr>
        <w:t>The Benefits and Insurance Services practice group revenue increased by $8.4 million, or 2.7%, to $318.3 million during the nine months ended September 30, 2025 compared to $309.9 million for the same period in 2024. The increase was primarily driven by a $10.3 million increase from payroll and human capital related services and a $7.0 million increase in employee benefit and retirement benefit services lines. The increase was offset by a $8.8 million decrease in the property and casualty services revenue.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expenses for the nine months ended September 30, 2025 increased by $3.6 million, or 1.4%, when compared to the same period in 2024. This increase was primarily driven by direct costs and personnel costs which increased by $4.3 million and $1.0 million, respectively, when compared to the same period in 2024. This increase was offset by a decrease of $1.0 million of depreciation and amortization expenses and a decrease of $ 0.7 million in travel and entertainment costs. Operating expense as a percentage of revenue decreased to 79.6% during the nine months ended September 30, 2025 as compared to 80.6% of revenue for the same period in 2024.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Practices</w:t>
      </w:r>
    </w:p>
    <w:p>
      <w:pPr>
        <w:spacing w:after="0" w:line="152"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rPr>
              <w:t>Three Months Ended September 30,</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55"/>
              <w:spacing w:after="0" w:line="147"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200" w:type="dxa"/>
            <w:vAlign w:val="bottom"/>
          </w:tcPr>
          <w:p>
            <w:pPr>
              <w:jc w:val="center"/>
              <w:ind w:right="135"/>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rPr>
              <w:t>(Amounts in thousands, except percentages)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11,909</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12,549</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10,685</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11,101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 Operating income</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1,224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income, net</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1,124</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4,953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w:t>
            </w:r>
          </w:p>
        </w:tc>
        <w:tc>
          <w:tcPr>
            <w:tcW w:w="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2,348</w:t>
            </w: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6,401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margin percent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2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10.3 %</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4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rPr>
              <w:t>Nine Months Ended September 30,</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55"/>
              <w:spacing w:after="0" w:line="147"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200" w:type="dxa"/>
            <w:vAlign w:val="bottom"/>
          </w:tcPr>
          <w:p>
            <w:pPr>
              <w:jc w:val="center"/>
              <w:ind w:right="135"/>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rPr>
              <w:t>(Amounts in thousands, except percentages)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35,034</w:t>
            </w:r>
          </w:p>
        </w:tc>
        <w:tc>
          <w:tcPr>
            <w:tcW w:w="140" w:type="dxa"/>
            <w:vAlign w:val="bottom"/>
            <w:shd w:val="clear" w:color="auto" w:fill="CFF0FC"/>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39,168</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31,431</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35,062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w:t>
            </w:r>
          </w:p>
        </w:tc>
        <w:tc>
          <w:tcPr>
            <w:tcW w:w="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 Operating income</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3,603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4,106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income, net</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1,124</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4,949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(3,825)</w:t>
            </w:r>
          </w:p>
        </w:tc>
        <w:tc>
          <w:tcPr>
            <w:tcW w:w="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4,727</w:t>
            </w: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9,055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margin percent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2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10.3 %</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99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Three and nine months ended September 30, 2025 compared with September 30, 2024.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Operating Expenses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three months ended September 30, 2024, we completed the sale of CBIZ KA Consulting Services, LLC ("KA Consulting"), which was a component of the National Practices group. KA Consulting contributed approximately $ 2.2 million and $8.4 million of revenue for the three and nine months ended September 30, 2024. The remaining National Practice group is primarily driven by a cost-plus contract with a single client, which has existed since 1999. The cost-plus contract is a five-year contract with the most recent renewal through December 31, 2028. During the three and nine months ended September 30, 2025, revenue decreased by $0.6 million, or 5.1%, and by $4.1 million, or</w:t>
      </w:r>
    </w:p>
    <w:p>
      <w:pPr>
        <w:spacing w:after="0" w:line="3"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10.6%, respectively, while operating expenses decreased by $0.4 million or 3.7%, and $3.6 million, or 10.4%, respectively. The decrease in revenue and in operating expense was attributed to the result of the sale of KA Consulting.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5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Corporate and Other are operating expenses that are not directly allocated to the individual business units. These expenses primarily consist of certain health care costs, gains or losses attributable to assets held in our deferred compensation plan, stock-based compensation, consolidation and integration charges, certain professional fees, certain advertising costs, and other various expenses.</w:t>
      </w:r>
    </w:p>
    <w:p>
      <w:pPr>
        <w:spacing w:after="0" w:line="329"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4"/>
                <w:szCs w:val="14"/>
                <w:b w:val="1"/>
                <w:bCs w:val="1"/>
                <w:color w:val="auto"/>
              </w:rPr>
              <w:t>Three Months Ended September 30,</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ind w:left="360"/>
              <w:spacing w:after="0" w:line="147"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center"/>
              <w:ind w:right="215"/>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40" w:type="dxa"/>
            <w:vAlign w:val="bottom"/>
            <w:gridSpan w:val="10"/>
          </w:tcPr>
          <w:p>
            <w:pPr>
              <w:jc w:val="center"/>
              <w:ind w:left="695"/>
              <w:spacing w:after="0"/>
              <w:rPr>
                <w:sz w:val="20"/>
                <w:szCs w:val="20"/>
                <w:color w:val="auto"/>
              </w:rPr>
            </w:pPr>
            <w:r>
              <w:rPr>
                <w:rFonts w:ascii="Arial" w:cs="Arial" w:eastAsia="Arial" w:hAnsi="Arial"/>
                <w:sz w:val="14"/>
                <w:szCs w:val="14"/>
                <w:b w:val="1"/>
                <w:bCs w:val="1"/>
                <w:color w:val="auto"/>
              </w:rPr>
              <w:t>(Amounts in thousands, except percentages)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25,081</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122.6 %</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general and administrative expenses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34.6 %</w:t>
            </w:r>
          </w:p>
        </w:tc>
        <w:tc>
          <w:tcPr>
            <w:tcW w:w="0" w:type="dxa"/>
            <w:vAlign w:val="bottom"/>
          </w:tcPr>
          <w:p>
            <w:pPr>
              <w:spacing w:after="0"/>
              <w:rPr>
                <w:sz w:val="1"/>
                <w:szCs w:val="1"/>
                <w:color w:val="auto"/>
              </w:rPr>
            </w:pPr>
          </w:p>
        </w:tc>
      </w:tr>
      <w:tr>
        <w:trPr>
          <w:trHeight w:val="223"/>
        </w:trPr>
        <w:tc>
          <w:tcPr>
            <w:tcW w:w="43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(56,346)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(21,853)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63.4 %</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8"/>
              </w:rPr>
              <w:t>(15,321)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(75,352)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8"/>
              </w:rPr>
              <w:t>(37,174)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97.4 %</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0"/>
        </w:trPr>
        <w:tc>
          <w:tcPr>
            <w:tcW w:w="43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4"/>
                <w:szCs w:val="14"/>
                <w:b w:val="1"/>
                <w:bCs w:val="1"/>
                <w:color w:val="auto"/>
              </w:rPr>
              <w:t>Nine Months Ended September 30,</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ind w:left="360"/>
              <w:spacing w:after="0" w:line="14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center"/>
              <w:ind w:right="215"/>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40" w:type="dxa"/>
            <w:vAlign w:val="bottom"/>
            <w:gridSpan w:val="10"/>
          </w:tcPr>
          <w:p>
            <w:pPr>
              <w:jc w:val="center"/>
              <w:ind w:left="695"/>
              <w:spacing w:after="0"/>
              <w:rPr>
                <w:sz w:val="20"/>
                <w:szCs w:val="20"/>
                <w:color w:val="auto"/>
              </w:rPr>
            </w:pPr>
            <w:r>
              <w:rPr>
                <w:rFonts w:ascii="Arial" w:cs="Arial" w:eastAsia="Arial" w:hAnsi="Arial"/>
                <w:sz w:val="14"/>
                <w:szCs w:val="14"/>
                <w:b w:val="1"/>
                <w:bCs w:val="1"/>
                <w:color w:val="auto"/>
              </w:rPr>
              <w:t>(Amounts in thousands, except percentages)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45,518</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30.4 %</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general and administrative expenses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86,972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35.9 %</w:t>
            </w:r>
          </w:p>
        </w:tc>
        <w:tc>
          <w:tcPr>
            <w:tcW w:w="0" w:type="dxa"/>
            <w:vAlign w:val="bottom"/>
          </w:tcPr>
          <w:p>
            <w:pPr>
              <w:spacing w:after="0"/>
              <w:rPr>
                <w:sz w:val="1"/>
                <w:szCs w:val="1"/>
                <w:color w:val="auto"/>
              </w:rPr>
            </w:pPr>
          </w:p>
        </w:tc>
      </w:tr>
      <w:tr>
        <w:trPr>
          <w:trHeight w:val="223"/>
        </w:trPr>
        <w:tc>
          <w:tcPr>
            <w:tcW w:w="4320" w:type="dxa"/>
            <w:vAlign w:val="bottom"/>
            <w:tcBorders>
              <w:right w:val="single" w:sz="8" w:color="CFF0FC"/>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FF0FC"/>
          </w:tcPr>
          <w:p>
            <w:pPr>
              <w:spacing w:after="0"/>
              <w:rPr>
                <w:sz w:val="19"/>
                <w:szCs w:val="19"/>
                <w:color w:val="auto"/>
              </w:rPr>
            </w:pPr>
          </w:p>
        </w:tc>
        <w:tc>
          <w:tcPr>
            <w:tcW w:w="980" w:type="dxa"/>
            <w:vAlign w:val="bottom"/>
            <w:tcBorders>
              <w:right w:val="single" w:sz="8" w:color="CCEEFF"/>
            </w:tcBorders>
            <w:shd w:val="clear" w:color="auto" w:fill="CFF0FC"/>
          </w:tcPr>
          <w:p>
            <w:pPr>
              <w:jc w:val="right"/>
              <w:spacing w:after="0"/>
              <w:rPr>
                <w:sz w:val="20"/>
                <w:szCs w:val="20"/>
                <w:color w:val="auto"/>
              </w:rPr>
            </w:pPr>
            <w:r>
              <w:rPr>
                <w:rFonts w:ascii="Arial" w:cs="Arial" w:eastAsia="Arial" w:hAnsi="Arial"/>
                <w:sz w:val="18"/>
                <w:szCs w:val="18"/>
                <w:color w:val="auto"/>
              </w:rPr>
              <w:t>(132,490)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(33,594)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(49,154)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8"/>
              </w:rPr>
              <w:t>(46,684)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(181,644)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8"/>
              </w:rPr>
              <w:t>(80,278)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79.2 %</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2025 compared to September 30, 2024.</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Total operating expenses increased by $13.8 million during the three months ended September 30, 2025, as compared to the same period in 2024. The deferred compensation plan increased operating expenses by $7.8 million for the three months ended September 30, 2025 and increased operating expenses by $7.3 million during the same period in 2024. Excluding the deferred compensation expenses, operating expenses increased by $13.3 million during the three months ended September 30, 2025, as compared to the same period in 2024. The increase was primarily driven by $5.9 million higher facility costs, $4.6 million higher personnel costs, $1.8 higher professional service costs, and $1.5 million higher other discretionary spending to support business growth.</w:t>
      </w:r>
    </w:p>
    <w:p>
      <w:pPr>
        <w:spacing w:after="0" w:line="7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Total corporate G&amp;A expenses increased by $8.0 million, or 34.6%, during the three months ended September 30, 2025, as compared to the same period in 2024. The deferred compensation plan increased corporate G&amp;A expenses by $1.1 million for the three months ended September 30, 2025 and by $1.1 million during the same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7" w:right="379" w:bottom="1440" w:gutter="0" w:footer="0" w:header="0"/>
        </w:sectPr>
      </w:pPr>
    </w:p>
    <w:bookmarkStart w:id="35" w:name="page36"/>
    <w:bookmarkEnd w:id="35"/>
    <w:p>
      <w:pPr>
        <w:ind w:right="20"/>
        <w:spacing w:after="0" w:line="256" w:lineRule="auto"/>
        <w:rPr>
          <w:sz w:val="20"/>
          <w:szCs w:val="20"/>
          <w:color w:val="auto"/>
        </w:rPr>
      </w:pPr>
      <w:r>
        <w:rPr>
          <w:rFonts w:ascii="Arial" w:cs="Arial" w:eastAsia="Arial" w:hAnsi="Arial"/>
          <w:sz w:val="18"/>
          <w:szCs w:val="18"/>
          <w:color w:val="auto"/>
        </w:rPr>
        <w:t>period in 2024. Excluding the deferred compensation expenses, corporate G&amp;A expense increased by approximately $8.0 million during the three months ended September 30, 2025, as compared to the same period in 2024. The increase was primarily driven by $3.1 million higher personnel costs, $1.8 million higher marketing costs, $1.0 million higher insurance costs, $0.9 million higher other discretionary spending to support business growth, $0.8 million higher technology costs, and $0.4 million higher travel and entertainment costs. The G&amp;A expenses for the three months ended September 30, 2025 included approximately $5.7 million of integration costs primarily associated with the Transaction. For the three months ended September 30, 2024, there were approximately $7.7 million of integration costs associated with the Transaction.</w:t>
      </w:r>
    </w:p>
    <w:p>
      <w:pPr>
        <w:spacing w:after="0" w:line="7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Total other expense, net increased by $15.3 million during the three months ended September 30, 2025, as compared to the same period in 2024. For the three months ended September 30, 2025, total other expense, net included a net gain of $8.9 million associated with the deferred compensation plan. For the same period in 2024, total other expense, net included a net gain of $ 8.4 million associated with the deferred compensation plan. Excluding the impact of the deferred compensation plan, total other expense, net increased by $15.9 million for the three months ended September 30, 2025 compared to the same period in 2024. The increase was primarily due to $23.0 million higher interest expense, partially offset by $5.0 million higher fair value adjustments as well as $2.5 million other adjustments recorded to other income (expense), net.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2025 compared to September 30, 2024.</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Total operating expenses increased by $10.6 million, or 30.4%, during the nine months ended September 30, 2025, as compared to the same period in 2024. The deferred compensation plan increased operating expenses by $17.1 million for the nine months ended September 30, 2025, and by $18.2 million during the same period in 2024. Excluding the deferred compensation expenses, operating expense increased by approximately $11.6 million during the nine months ended September 30, 2025, as compared to the same period in 2024. This increase was primarily driven by $5.2 million higher facility costs, $4.1 million higher professional service costs, $2.1 million higher personnel costs, and $0.2 million higher other discretionary spending to support business growth.</w:t>
      </w:r>
    </w:p>
    <w:p>
      <w:pPr>
        <w:spacing w:after="0" w:line="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Total corporate G&amp;A expenses increased by $23.0 million, or 35.9%, during the nine months ended September 30, 2025, as compared to the same period in 2024. The deferred compensation plan increased corporate G&amp;A expenses by $2.4 million for the nine months ended September 30, 2025 and by $2.4 million during the same period in 2024. Excluding the deferred compensation expenses, corporate G&amp;A expense increased by approximately $23.0 million during the nine months ended September 30, 2025, as compared to the same period in 2024. The increase was primarily due to approximately $5.9 million higher professional fees, $4.8 million higher personnel costs, $3.3 million higher marketing costs, $2.8 million higher insurance costs, $1.8 million higher technology costs, $1.6 million higher other discretionary spending to support business growth, $1.5 million higher facility costs, and $1.3 higher legal settlement costs. The G&amp;A expenses for the nine months ended September 30, 2025 included approximately $20.2 million of integration costs primarily associated with the Transaction. For the nine months ended September 30, 2024 there were approximately $15.0 million of non-recurring transaction and integration costs associated with the Transaction.</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Total other expense, net increased by $46.7 million during the nine months ended September 30, 2025, as compared to the same period in 2024. Total other expense, net for the nine months ended September 30, 2025 includes a net gain of $ 19.5 million associated with the deferred compensation plan. For the same period in 2024, total other expense, net includes a net gain of $ 20.6 million associated with the deferred compensation plan. Excluding the impact of the deferred compensation plan, total other expense, net increased by $45.6 million for the nine months ended September 30, 2025 compared to the same period in 2024. The increase was primarily due to $65.6 million higher interest expense, partially offset by a gain from a legal settlement of $12.5 million recorded to other income (expense), net, $4.4 million higher fair value adjustments and $1.7 million higher other adjustments, as well as an increase of $1.4 million of interest income.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principal sources of liquidity are cash generated from operating activities and financing activities. Our cash flows from operating activities are driven primarily by our operating results and changes in our working capital requirements while our cash flows from financing activities are dependent upon our ability to access credit or other capital. We historically maintain low cash levels and apply any available cash to pay down the outstanding debt balance.</w:t>
      </w:r>
    </w:p>
    <w:p>
      <w:pPr>
        <w:spacing w:after="0" w:line="6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historically experience a use of cash to fund working capital requirements during the first quarter of each fiscal year. This is primarily due to the seasonal accounting and tax services period under the Financial Services practice group, as well as payment of accrued employees' incentives programs. Upon completion of the seasonal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36" w:name="page37"/>
    <w:bookmarkEnd w:id="36"/>
    <w:p>
      <w:pPr>
        <w:ind w:right="100"/>
        <w:spacing w:after="0" w:line="287" w:lineRule="auto"/>
        <w:rPr>
          <w:sz w:val="20"/>
          <w:szCs w:val="20"/>
          <w:color w:val="auto"/>
        </w:rPr>
      </w:pPr>
      <w:r>
        <w:rPr>
          <w:rFonts w:ascii="Arial" w:cs="Arial" w:eastAsia="Arial" w:hAnsi="Arial"/>
          <w:sz w:val="18"/>
          <w:szCs w:val="18"/>
          <w:color w:val="auto"/>
        </w:rPr>
        <w:t>accounting and tax services period, cash provided by operations during the remaining three quarters of the fiscal year substantially exceeds the use of cash in the first quarter of the fiscal year.</w:t>
      </w:r>
    </w:p>
    <w:p>
      <w:pPr>
        <w:spacing w:after="0" w:line="4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Accounts receivable balances increase in response to the first three months' revenue generated by the Financial Services practice group. A significant amount of this revenue is billed and collected in subsequent quarters. Days sales outstanding (“DSO”) represent accounts receivable and unbilled revenue (net of realization adjustments) at the end of the period, divided by trailing twelve months' daily revenue. We provide DSO data because such data is commonly used as a performance measure by analysts and investors and as a measure of our ability to collect on receivables in a timely manner. Trailing-twelve-month DSO, including the impact of acquisitions, was 94 days and 97 days at September 30, 2025 and 2024, respectively. DSO at December 31, 2024 was 73 days.</w:t>
      </w:r>
    </w:p>
    <w:p>
      <w:pPr>
        <w:spacing w:after="0" w:line="74"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following table presents selected cash flow information. For additional details, refer to the accompanying Condensed Consolidated Statements of Cash Flows.</w:t>
      </w:r>
    </w:p>
    <w:p>
      <w:pPr>
        <w:spacing w:after="0" w:line="82"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68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68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2024</w:t>
            </w:r>
          </w:p>
        </w:tc>
      </w:tr>
      <w:tr>
        <w:trPr>
          <w:trHeight w:val="196"/>
        </w:trPr>
        <w:tc>
          <w:tcPr>
            <w:tcW w:w="6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40" w:type="dxa"/>
            <w:vAlign w:val="bottom"/>
            <w:gridSpan w:val="4"/>
          </w:tcPr>
          <w:p>
            <w:pPr>
              <w:jc w:val="right"/>
              <w:ind w:right="834"/>
              <w:spacing w:after="0"/>
              <w:rPr>
                <w:sz w:val="20"/>
                <w:szCs w:val="20"/>
                <w:color w:val="auto"/>
              </w:rPr>
            </w:pPr>
            <w:r>
              <w:rPr>
                <w:rFonts w:ascii="Arial" w:cs="Arial" w:eastAsia="Arial" w:hAnsi="Arial"/>
                <w:sz w:val="14"/>
                <w:szCs w:val="14"/>
                <w:b w:val="1"/>
                <w:bCs w:val="1"/>
                <w:color w:val="auto"/>
              </w:rPr>
              <w:t>(Amounts in thousands)</w:t>
            </w:r>
          </w:p>
        </w:tc>
      </w:tr>
      <w:tr>
        <w:trPr>
          <w:trHeight w:val="231"/>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center"/>
              <w:ind w:left="538"/>
              <w:spacing w:after="0"/>
              <w:rPr>
                <w:sz w:val="20"/>
                <w:szCs w:val="20"/>
                <w:color w:val="auto"/>
              </w:rPr>
            </w:pPr>
            <w:r>
              <w:rPr>
                <w:rFonts w:ascii="Arial" w:cs="Arial" w:eastAsia="Arial" w:hAnsi="Arial"/>
                <w:sz w:val="18"/>
                <w:szCs w:val="18"/>
                <w:color w:val="auto"/>
                <w:w w:val="98"/>
              </w:rPr>
              <w:t>48,846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68,168</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360" w:type="dxa"/>
            <w:vAlign w:val="bottom"/>
          </w:tcPr>
          <w:p>
            <w:pPr>
              <w:jc w:val="center"/>
              <w:ind w:left="518"/>
              <w:spacing w:after="0"/>
              <w:rPr>
                <w:sz w:val="20"/>
                <w:szCs w:val="20"/>
                <w:color w:val="auto"/>
              </w:rPr>
            </w:pPr>
            <w:r>
              <w:rPr>
                <w:rFonts w:ascii="Arial" w:cs="Arial" w:eastAsia="Arial" w:hAnsi="Arial"/>
                <w:sz w:val="18"/>
                <w:szCs w:val="18"/>
                <w:color w:val="auto"/>
              </w:rPr>
              <w:t>(16,913)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(24,911)</w:t>
            </w: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left="518"/>
              <w:spacing w:after="0"/>
              <w:rPr>
                <w:sz w:val="20"/>
                <w:szCs w:val="20"/>
                <w:color w:val="auto"/>
              </w:rPr>
            </w:pPr>
            <w:r>
              <w:rPr>
                <w:rFonts w:ascii="Arial" w:cs="Arial" w:eastAsia="Arial" w:hAnsi="Arial"/>
                <w:sz w:val="18"/>
                <w:szCs w:val="18"/>
                <w:color w:val="auto"/>
              </w:rPr>
              <w:t>(75,233)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(85,222)</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center"/>
              <w:ind w:left="518"/>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(41,965)</w:t>
            </w:r>
          </w:p>
        </w:tc>
      </w:tr>
      <w:tr>
        <w:trPr>
          <w:trHeight w:val="21"/>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 xml:space="preserve">Operating Activities - </w:t>
      </w:r>
      <w:r>
        <w:rPr>
          <w:rFonts w:ascii="Arial" w:cs="Arial" w:eastAsia="Arial" w:hAnsi="Arial"/>
          <w:sz w:val="18"/>
          <w:szCs w:val="18"/>
          <w:color w:val="auto"/>
        </w:rPr>
        <w:t>Cash provided by operating activities was $ 48.8 million during the nine months ended September 30, 2025,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consisted of working capital use of $258.0 million, which was offset by net income of $194.9 million and certain non-cash items, such as depreciation and amortization expense of $74.3 million, deferred income tax of $8.8 million, stock-based compensation expense of $19.6 million, and an adjustment to contingent earnout liability of $2.0 million. Cash provided by operating activities was $68.2 million during the nine months ended September 30, 2024, primarily consisted of working capital use of $108.4 million, which was offset by net income of $131.8 million and certain non-cash items, such as depreciation and amortization expense of $28.6 million, deferred income tax of $4.8 million, stock-based compensation expense of $7.4 million, and an adjustment to contingent earnout liability of $6.3 million.</w:t>
      </w:r>
    </w:p>
    <w:p>
      <w:pPr>
        <w:spacing w:after="0" w:line="11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 xml:space="preserve">Investing Activities - </w:t>
      </w:r>
      <w:r>
        <w:rPr>
          <w:rFonts w:ascii="Arial" w:cs="Arial" w:eastAsia="Arial" w:hAnsi="Arial"/>
          <w:sz w:val="18"/>
          <w:szCs w:val="18"/>
          <w:color w:val="auto"/>
        </w:rPr>
        <w:t>Cash used in investing activities during the nine months ended September 30, 2025 was $16.9 million and consisted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of $15.0 million in capital expenditures and $4.0 million in net client fund investment activity, partially offset by $1.4 million received from sale of operations and $0.7 million in other investing activities primarily related to acquisition related working capital adjustment payments and notes receivable. The net cash flow related to funds held for clients and other activities were immaterial. Cash used in investing activities during the nine months ended September 30, 2024 was $24.9 million and consisted primarily of $22.9 million used for business acquisitions, $9.7 million in capital expenditures, and $ 2.2 million in other investing activities primarily related to acquisition related working capital adjustment payments and notes receivable. The net cash flow related to funds held for clients and other activities were immaterial.</w:t>
      </w:r>
    </w:p>
    <w:p>
      <w:pPr>
        <w:spacing w:after="0" w:line="7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balances in funds held for clients and client fund obligations can fluctuate with the timing of cash receipts and the related cash payments. The nature of these accounts is further described in Note 1, Basis of Presentation and Significant Accounting Policies, to the consolidated financial statements included in our Annual Report on Form 10-K for the year ended December 31, 2024.</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Financing Activities - </w:t>
      </w:r>
      <w:r>
        <w:rPr>
          <w:rFonts w:ascii="Arial" w:cs="Arial" w:eastAsia="Arial" w:hAnsi="Arial"/>
          <w:sz w:val="18"/>
          <w:szCs w:val="18"/>
          <w:color w:val="auto"/>
        </w:rPr>
        <w:t>Cash used in financing activities during the nine months ended September 30, 2025 was $ 75.2 million and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consisted of $135.6 million of cash used in share repurchases, of which $102.8 million was used under the ROFR Agreement and $25.0 million were open market purchases. Additionally, $48.3 million was paid to reduce client fund obligations and $55.8 million was paid as contingent consideration payments related to prior acquisitions. The use of cash was partially offset by $165.9 million in net proceeds from the 2024 Credit Facilities. Cash used in financing activities during the nine months ended September 30, 2024 was $85.2 million and primarily consisted of $24.9 million in net proceeds from the 2022 credit facility, partially offset by $11.4 million cash used in share repurchases for tax withholding purposes, a $47.6 million net decrease in client fund obligations and $50.9 million in contingent consideration payments related to prior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CAPITAL RESOURCES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Credit Facilities - </w:t>
      </w:r>
      <w:r>
        <w:rPr>
          <w:rFonts w:ascii="Arial" w:cs="Arial" w:eastAsia="Arial" w:hAnsi="Arial"/>
          <w:sz w:val="18"/>
          <w:szCs w:val="18"/>
          <w:color w:val="auto"/>
        </w:rPr>
        <w:t>At September 30, 2025, we had $1,586.8 million outstanding under the 2024 Credit Facilities as well as $3.2 million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outstanding letters of credit. Available funds under the 2024 Credit Facilities, based on the terms of the commitment, were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$316.0 million at September 30, 2025. The weighted average interest rate under the 2024 Credit Facilities was 6.64% during the nine months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ended September 30, 2025, compared to 5.40% for the same period in 2024 under the 2022 credit facility. The 2024 Credit Facilities allows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allocation of funds for future strategic initiatives, including acquisitions and the repurchase of our common stock, subject to the terms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conditions of the 2024 Credit Facilities.</w:t>
      </w:r>
    </w:p>
    <w:p>
      <w:pPr>
        <w:spacing w:after="0" w:line="31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Debt Covenant Compliance - </w:t>
      </w:r>
      <w:r>
        <w:rPr>
          <w:rFonts w:ascii="Arial" w:cs="Arial" w:eastAsia="Arial" w:hAnsi="Arial"/>
          <w:sz w:val="18"/>
          <w:szCs w:val="18"/>
          <w:color w:val="auto"/>
        </w:rPr>
        <w:t>Under the 2024 Credit Facilities, we are required to meet certain financial covenants with respect to (i)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leverage ratio and (ii) minimum interest charge coverage ratio. We were in compliance with our financial covenants as of September 30, 2025. Our ability to service our debt and to fund future strategic initiatives will depend upon our ability to generate cash in the future. For further discussion regarding our 2024 Credit Facilities, refer to Note 5, Debt and Financing Arrangements, to the accompanying unaudited condensed consolidated financial statements.</w:t>
      </w:r>
    </w:p>
    <w:p>
      <w:pPr>
        <w:spacing w:after="0" w:line="31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 xml:space="preserve">Use of Capital - </w:t>
      </w:r>
      <w:r>
        <w:rPr>
          <w:rFonts w:ascii="Arial" w:cs="Arial" w:eastAsia="Arial" w:hAnsi="Arial"/>
          <w:sz w:val="18"/>
          <w:szCs w:val="18"/>
          <w:color w:val="auto"/>
        </w:rPr>
        <w:t>Our overall business objective continues to focus on making strategic acquisitions that allow us to strengthen our presence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existing markets, expand into high growth industries, and broaden our services to our existing clients. As a result of the Transaction and related 2024 Credit Facilities we have $1,586.8 million of outstanding debt as of September 30, 2025. To achieve our business objective of making strategic acquisitions, our current priority for use of capital is to maximize cash flow to fund working capital to drive organic growth and to pay down debt, which will allow us more liquidity to make strategic, selective, and high-return acquisitions in the future. In addition, we believe that repurchasing shares of our common stock can be a prudent use of our financial resources, and that investing in our stock is an attractive use of capital and an efficient means to provide value to our stockholders.</w:t>
      </w:r>
    </w:p>
    <w:p>
      <w:pPr>
        <w:spacing w:after="0" w:line="2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nine months ended September 30, 2025, we completed no acquisitions. During the nine months ended September 30, 2025, we repurchased 1.4 million shares of our common stock at a cost of $102.8 million under the ROFR Agreement and 0.4 million shares of our common stock in the open market for $25.0 million. Additionally, to settle statutory employee withholdings related to vesting of stock awards, we repurchased 0.1 million shares of our common stock at cost of $7.8 million during the nine months ended September 30, 2025 and 0.2 million shares at a cost of $11.4 million during the nine months ended September 30, 2024.</w:t>
      </w:r>
    </w:p>
    <w:p>
      <w:pPr>
        <w:spacing w:after="0" w:line="17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 xml:space="preserve">Cash Requirements - </w:t>
      </w:r>
      <w:r>
        <w:rPr>
          <w:rFonts w:ascii="Arial" w:cs="Arial" w:eastAsia="Arial" w:hAnsi="Arial"/>
          <w:sz w:val="18"/>
          <w:szCs w:val="18"/>
          <w:color w:val="auto"/>
        </w:rPr>
        <w:t>Cash requirements for the remainder of 2025 and beyond will include share repurchases through both our ROFR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and open market purchases, the repayment of outstanding debt and related interest, making strategic acquisitions, funding seasonal working capital requirements, making contingent purchase price payments for previous acquisitions, income tax payments, and capital expenditures. We believe that cash provided by operations, as well as available funds under our 2024 Credit Facilities, will be sufficient to meet cash requirements for the remainder of 2025 and beyond.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maintain administrative service agreements with independent CPA firms (as described more fully under Item 1. “Business – Financial Services” and in Note 1, Basis of Presentation and Significant Accounting Policies, to the consolidated financial statements included in our Annual Report on Form 10-K for the year ended December 31, 2024), which qualify as variable interest entities. The accompanying unaudited condensed consolidated financial statements do not reflect the operations or accounts of variable interest entities as the impact is not material to the financial condition, results of operations, or cash flows of CBIZ.</w:t>
      </w:r>
    </w:p>
    <w:p>
      <w:pPr>
        <w:spacing w:after="0" w:line="17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provide letters of credit to landlords (lessors) of our leased premises in lieu of cash security deposits, which totaled $3.2 million and $3.2 million at September 30, 2025 and December 31, 2024, respectively. In addition, we provide license bonds to various state agencies to meet certain licensing requirements. The amount of license bonds outstanding was $2.2 million and $2.2 million at September 30, 2025 and December 31, 2024, respectively.</w:t>
      </w:r>
    </w:p>
    <w:p>
      <w:pPr>
        <w:spacing w:after="0" w:line="176"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have various agreements under which we may be obligated to indemnify the other party with respect to certain matters. Generally, these indemnification clauses are included in contracts arising in the normal course of business under which we customarily agree to hold the other party harmless against losses arising from a breach of</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38" w:name="page39"/>
    <w:bookmarkEnd w:id="38"/>
    <w:p>
      <w:pPr>
        <w:ind w:right="120"/>
        <w:spacing w:after="0" w:line="255" w:lineRule="auto"/>
        <w:rPr>
          <w:sz w:val="20"/>
          <w:szCs w:val="20"/>
          <w:color w:val="auto"/>
        </w:rPr>
      </w:pPr>
      <w:r>
        <w:rPr>
          <w:rFonts w:ascii="Arial" w:cs="Arial" w:eastAsia="Arial" w:hAnsi="Arial"/>
          <w:sz w:val="18"/>
          <w:szCs w:val="18"/>
          <w:color w:val="auto"/>
        </w:rPr>
        <w:t>representations, warranties, covenants or agreements, related to matters such as title to assets sold and certain tax matters. Payment by us under such indemnification clauses is generally conditioned upon the other party making a claim. Such claims are typically subject to challenge by us and to dispute resolution procedures specified in the particular contract. Further, our obligations under these agreements may be limited in terms of time and/or amount and, in some instances, we may have recourse against third parties for certain payments made by us. It is not possible to predict the maximum potential amount of future payments under these indemnification agreements due to the conditional nature of our obligations and the unique facts of each particular agreement. Historically, we have not made any payments under these agreements that have been material individually or in the aggregate. As of September 30, 2025, we are not aware of any material obligations arising under indemnification agreements that would require payment.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SEC defines critical accounting policies as those that are most important to the portrayal of a company’s financial condition and results and that require management’s most difficult, subjective or complex judgments, often as a result of the need to make estimates about the effect of matters that are inherently uncertain.</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discussion and analysis of our results of operations, financial condition and liquidity is based upon our unaudited condensed consolidated financial statements, which have been prepared in accordance with U.S. generally accepted accounting principles. The preparation of these financial statements requires us to make estimates and judgments that affect the amounts of assets and liabilities, revenues and expenses and disclosure of contingent assets and liabilities as of the date of the unaudited condensed consolidated financial statements. As more information becomes known, these estimates and assumptions could change, which would have an impact on actual results that may differ materially from these estimates and judgments under different assumptions. We have not made any changes to our critical accounting policies and estimates as previously disclosed in our Annual Report on Form 10-K for the fiscal year ended December 31, 2024.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1"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Refer to Note 2, New Accounting Pronouncements, to the accompanying unaudited condensed consolidated financial statements for a discussion of recently issued accounting pronouncements.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 included in this Quarterly Report on Form 10-Q, including, without limitation, "Management's Discussion and Analysis of Financial Condition and Results of Operations" regarding our financial position, business strategy and plans and objectives for future performance are forward-looking statements. You can identify these statements by the fact that they do not relate strictly to historical or current facts. Forward-looking statements are commonly identified by the use of such terms and phrases as</w:t>
      </w:r>
    </w:p>
    <w:p>
      <w:pPr>
        <w:spacing w:after="0" w:line="7"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“will,” “could,” “can,” “may,” “strive,” “hope,” "intend," "believe," "estimate," ”continue,” “plan,” "expect," "project," "anticipate," “outlook,” "foreseeable future," "seek" and words or phrases of similar import in connection with any discussion of future operating or financial performance. In particular, these include statements relating to future actions, future performance or results of current and anticipated services, sales efforts, expenses, and financial results.</w:t>
      </w:r>
    </w:p>
    <w:p>
      <w:pPr>
        <w:spacing w:after="0" w:line="203"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From time to time, we may also provide oral or written forward-looking statements in other materials we release to the public. Any or all of our forward-looking statements in this Quarterly Report on Form 10-Q and in any other public statements that we make, are subject to certain</w:t>
      </w:r>
    </w:p>
    <w:p>
      <w:pPr>
        <w:jc w:val="both"/>
        <w:spacing w:after="0" w:line="255" w:lineRule="auto"/>
        <w:rPr>
          <w:sz w:val="20"/>
          <w:szCs w:val="20"/>
          <w:color w:val="auto"/>
        </w:rPr>
      </w:pPr>
      <w:r>
        <w:rPr>
          <w:rFonts w:ascii="Arial" w:cs="Arial" w:eastAsia="Arial" w:hAnsi="Arial"/>
          <w:sz w:val="18"/>
          <w:szCs w:val="18"/>
          <w:color w:val="auto"/>
        </w:rPr>
        <w:t>risks and uncertainties that could cause actual results to differ materially from those projected. Such risks and uncertainties include, but are not limited to: payments on accounts receivable may be slower than expected, or amounts due on receivables or notes may not be fully collectible; our business could be adversely affected if Marcum does not perform to our expectations or we underestimate the liabilities we have assumed; we are dependent on the services of our executive officers, and other key employees, the loss of whom may have a material adverse effect on our business, financial condition and results of operations; restrictions imposed by independence requirements and conflict of interest rules, as well as the nature and terms of our current Administrative Service Agreements, limit our ability to provide services to clients of the attest firms with which we have contractual relationships and the ability of such attest firms to provide attestation services to our clients; our goodwill and other intangible assets could become impaired, which could lead to material non-cash charges against earnings and a material impact on our results of operations and financial</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9" w:name="page40"/>
    <w:bookmarkEnd w:id="39"/>
    <w:p>
      <w:pPr>
        <w:jc w:val="both"/>
        <w:spacing w:after="0" w:line="251" w:lineRule="auto"/>
        <w:rPr>
          <w:sz w:val="20"/>
          <w:szCs w:val="20"/>
          <w:color w:val="auto"/>
        </w:rPr>
      </w:pPr>
      <w:r>
        <w:rPr>
          <w:rFonts w:ascii="Arial" w:cs="Arial" w:eastAsia="Arial" w:hAnsi="Arial"/>
          <w:sz w:val="18"/>
          <w:szCs w:val="18"/>
          <w:color w:val="auto"/>
        </w:rPr>
        <w:t>condition; certain liabilities resulting from acquisitions are estimated and could lead to a material impact on our results of operations; we may fail to realize the anticipated benefits of acquisitions, or they may prove disruptive and could result in the combined business failing to meet our expectations; recent SEC and Public Company Accounting Oversight Board ("PCAOB") sanctions against Marcum may adversely impact our performance and reputation; if we are unable to implement and maintain effective internal control over financial reporting following the Transaction, we may fail to prevent or detect material misstatements in our financial statements, in which case investors could lose confidence in the accuracy and completeness of our financial reports and the market price of our common stock may decline; we may not be able to acquire and finance additional businesses, which could limit our ability to pursue our business strategy; we will incur transaction, integration, and restructuring costs in connection with our acquisition program; governmental regulations and interpretations are subject to changes, which could have a material adverse effect on our financial condition; continuing uncertainty in the current economic and geopolitical environment could lead to continuing softness in demand for certain of our services; changes in the United States healthcare environment, including new healthcare legislation, may adversely affect the revenue and margins in our healthcare benefit business; we are subject to risks relating to processing customer transactions for our payroll and other transaction processing businesses; cyberattacks or other security breaches involving our computer systems or the systems of one or more of our vendors could materially and adversely affect our business; we are subject to risk as it relates to software that we license from third parties; we are reliant on information processing systems and any failure or disruptions of these systems could have a material adverse effect on our business, financial condition and results of operations; we could be held liable for errors and omissions; the business services industry is competitive and fragmented, if we are unable to compete effectively, our business, financial condition and results of operations could be negatively impacted; given our levels of share-based compensation, our tax rate may vary significantly depending on our stock price; rapid technological changes could significantly impact our competitive position, client relationships and operating results and our ability to realize the anticipated benefits of the Transaction; climate change legislation or regulations restricting emissions of greenhouse gases could result in increased operating costs; the adverse impact of legislative and regulatory changes in the U.S. and globally, including as a result of the One Big Beautiful Bill Act, on our tax rate, accounting practices, operations and results; the widespread outbreak of a communicable illness or any other public health crisis could adversely affect our business, financial condition and results of operations; we require a significant amount of cash for interest payments on our debt and to expand our business as planned; terms of the 2024 Credit Facilities could adversely affect our ability to run our business and/or reduce stockholder returns; our failure to satisfy covenants in our debt instruments could cause a default under those instruments; our increased leverage following the Transaction may adversely impact our business; we may be more sensitive to revenue fluctuations than other companies, which could result in fluctuations in the market price of our common stock; the significant number of shares issuable as the stock consideration in the Transaction may adversely impact our stock price; the future issuance of additional shares could adversely affect the price of our common stock; there is volatility in our stock price; and the price of our common stock could be adversely impacted if we do not perform to expectations following the Transaction.</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Such forward-looking statements can be affected by inaccurate assumptions we might make or by known or unknown risks and uncertainties. Should one or more of these risks materialize, or should the underlying assumptions prove incorrect, actual results may vary materially from those anticipated, estimated, projected or implied.</w:t>
      </w:r>
    </w:p>
    <w:p>
      <w:pPr>
        <w:spacing w:after="0" w:line="19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Consequently, no forward-looking statement can be guaranteed. A more detailed description of risk factors may be found in our periodic filings with the SEC, including in “Item 1A. Risk Factors” of our Annual Report on Form 10-K for the year ended December 31, 2024. All forward-looking statements made in this Quarterly Report on Form 10-Q are made only as of the date hereof, and we undertake no obligation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 publicly update any forward-looking statements, whether as a result of new information, future events or otherwise, except as required by law. You are advised, however, to consult any further disclosures we make on related subjects in the current, quarterly, periodic and annual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reports we file with the SEC.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floating rate debt under the 2024 Credit Facilities exposes us to interest rate risk. Interest rate risk results when the maturity or repricing intervals of interest-earning assets and interest-bearing liabilities are different. A change in the Federal Funds Rate, or the reference rate set by Bank of America, N.A., would have affected the rate at which we could borrow funds under the 2024 Credit Facilities. The balance outstanding under our 2024 Credit Facilities at September 30, 2025 was $1,586.8 million, of which $1,086.8 million was subject to rate risk. If market rates were to increase or decrease 100 basis points from the levels at September 30, 2025, interest expense would have increased or decreased approximately $10.9 million annually.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0" w:name="page41"/>
    <w:bookmarkEnd w:id="40"/>
    <w:p>
      <w:pPr>
        <w:ind w:right="20"/>
        <w:spacing w:after="0" w:line="262" w:lineRule="auto"/>
        <w:rPr>
          <w:sz w:val="20"/>
          <w:szCs w:val="20"/>
          <w:color w:val="auto"/>
        </w:rPr>
      </w:pPr>
      <w:r>
        <w:rPr>
          <w:rFonts w:ascii="Arial" w:cs="Arial" w:eastAsia="Arial" w:hAnsi="Arial"/>
          <w:sz w:val="18"/>
          <w:szCs w:val="18"/>
          <w:color w:val="auto"/>
        </w:rPr>
        <w:t>We do not engage in trading market risk sensitive instruments. We periodically use interest rate swaps to manage interest rate risk exposure. The interest rate swaps effectively modify our exposure to interest rate risk, primarily through converting portions of our floating rate debt under the 2024 Credit Facilities to a fixed rate basis. These agreements involve the receipt or payment of floating rate amounts in exchange for fixed rate interest payments over the life of the agreements without an exchange of the underlying principal amounts.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2025, we have the following interest rate swaps outstanding (in thousands, except percentages):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September 30, 2025</w:t>
            </w:r>
          </w:p>
        </w:tc>
        <w:tc>
          <w:tcPr>
            <w:tcW w:w="1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2"/>
          </w:tcPr>
          <w:p>
            <w:pPr>
              <w:ind w:left="220"/>
              <w:spacing w:after="0" w:line="147" w:lineRule="exact"/>
              <w:rPr>
                <w:sz w:val="20"/>
                <w:szCs w:val="20"/>
                <w:color w:val="auto"/>
              </w:rPr>
            </w:pPr>
            <w:r>
              <w:rPr>
                <w:rFonts w:ascii="Arial" w:cs="Arial" w:eastAsia="Arial" w:hAnsi="Arial"/>
                <w:sz w:val="14"/>
                <w:szCs w:val="14"/>
                <w:b w:val="1"/>
                <w:bCs w:val="1"/>
                <w:color w:val="auto"/>
              </w:rPr>
              <w:t>Notional</w:t>
            </w:r>
          </w:p>
        </w:tc>
        <w:tc>
          <w:tcPr>
            <w:tcW w:w="2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Fixed Rate</w:t>
            </w:r>
          </w:p>
        </w:tc>
        <w:tc>
          <w:tcPr>
            <w:tcW w:w="17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5"/>
        </w:trPr>
        <w:tc>
          <w:tcPr>
            <w:tcW w:w="4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2"/>
          </w:tcPr>
          <w:p>
            <w:pPr>
              <w:ind w:left="240"/>
              <w:spacing w:after="0"/>
              <w:rPr>
                <w:sz w:val="20"/>
                <w:szCs w:val="20"/>
                <w:color w:val="auto"/>
              </w:rPr>
            </w:pPr>
            <w:r>
              <w:rPr>
                <w:rFonts w:ascii="Arial" w:cs="Arial" w:eastAsia="Arial" w:hAnsi="Arial"/>
                <w:sz w:val="14"/>
                <w:szCs w:val="14"/>
                <w:b w:val="1"/>
                <w:bCs w:val="1"/>
                <w:color w:val="auto"/>
              </w:rPr>
              <w:t>Amount</w:t>
            </w:r>
          </w:p>
        </w:tc>
        <w:tc>
          <w:tcPr>
            <w:tcW w:w="2000" w:type="dxa"/>
            <w:vAlign w:val="bottom"/>
            <w:gridSpan w:val="2"/>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4.047 %</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7/14/2026</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1.186 %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12/14/2026</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7/14/2027</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2.450 %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8/14/2027</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4/14/2028</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4.488 %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10/14/2028</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3/14/2030</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3.503 %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4/14/2030</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7/14/2030</w:t>
            </w:r>
          </w:p>
        </w:tc>
        <w:tc>
          <w:tcPr>
            <w:tcW w:w="0" w:type="dxa"/>
            <w:vAlign w:val="bottom"/>
          </w:tcPr>
          <w:p>
            <w:pPr>
              <w:spacing w:after="0"/>
              <w:rPr>
                <w:sz w:val="1"/>
                <w:szCs w:val="1"/>
                <w:color w:val="auto"/>
              </w:rPr>
            </w:pPr>
          </w:p>
        </w:tc>
      </w:tr>
      <w:tr>
        <w:trPr>
          <w:trHeight w:val="239"/>
        </w:trPr>
        <w:tc>
          <w:tcPr>
            <w:tcW w:w="422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3.680 %</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7/15/2030</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Management will continue to evaluate the potential use of interest rate swaps as we deem appropriate under certain operating and market conditions. We do not enter into derivative instruments for trading or speculative purposes.</w:t>
      </w:r>
    </w:p>
    <w:p>
      <w:pPr>
        <w:spacing w:after="0" w:line="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services provided by our payroll operations, funds collected from our clients’ accounts in advance are segregated and may be invested in short-term investments, such as corporate and municipal bonds. In accordance with our investment policy, all investments carry an investment grade rating at the time of the initial acquisition, and are classified as available-for-sale securities. At each respective balance sheet date, these investments are adjusted to fair value with fair value adjustments being recorded to other comprehensive income or loss and reflected in the accompanying Condensed Consolidated Statements of Comprehensive Income for the respective period. If an investment is deemed to be other-than-temporarily impaired due to credit loss, then the adjustment is recorded to "Other income, net" in the accompanying Condensed Consolidated Statements of Comprehensive Income. Refer to Note 7, Financial Instruments, and Note 8, Fair Value Measurements, to the accompanying unaudited condensed consolidated financial statements for further discussion regarding these investments and the related fair value assessments.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right="6940" w:firstLine="8"/>
        <w:spacing w:after="0" w:line="397" w:lineRule="auto"/>
        <w:tabs>
          <w:tab w:leader="none" w:pos="27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Disclosure Controls and Procedures </w:t>
      </w:r>
      <w:r>
        <w:rPr>
          <w:rFonts w:ascii="Arial" w:cs="Arial" w:eastAsia="Arial" w:hAnsi="Arial"/>
          <w:sz w:val="17"/>
          <w:szCs w:val="17"/>
          <w:b w:val="1"/>
          <w:bCs w:val="1"/>
          <w:i w:val="1"/>
          <w:iCs w:val="1"/>
          <w:color w:val="auto"/>
        </w:rPr>
        <w:t>Evaluation of Disclosure Controls and Procedures</w:t>
      </w:r>
    </w:p>
    <w:p>
      <w:pPr>
        <w:spacing w:after="0" w:line="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Management has evaluated the effectiveness of our disclosure controls and procedures (“Disclosure Controls”) as of the end of the period covered by this report. This evaluation (“Controls Evaluation”) was done with the participation of the Chief Executive Officer (“CEO”) and Chief Financial Officer (“CFO”). Disclosure Controls are controls and other procedures that are designed to ensure that information required to be disclosed by us in the reports that we file or submit under the Exchange Act is recorded, processed, summarized and reported within the time periods specified in the SEC's rules and forms. Disclosure Controls include, without limitation, controls and procedures designed to ensure that information required to be disclosed by us in the reports that we file or submit under the Exchange Act is accumulated and communicated to management, including the CEO and CFO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Management, including our CEO and CFO, does not expect that our Disclosure Controls or our internal control over financial reporting will prevent all errors and all fraud. Although our Disclosure Controls are designed to provide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1" w:name="page42"/>
    <w:bookmarkEnd w:id="41"/>
    <w:p>
      <w:pPr>
        <w:ind w:right="20"/>
        <w:spacing w:after="0" w:line="254" w:lineRule="auto"/>
        <w:rPr>
          <w:sz w:val="20"/>
          <w:szCs w:val="20"/>
          <w:color w:val="auto"/>
        </w:rPr>
      </w:pPr>
      <w:r>
        <w:rPr>
          <w:rFonts w:ascii="Arial" w:cs="Arial" w:eastAsia="Arial" w:hAnsi="Arial"/>
          <w:sz w:val="18"/>
          <w:szCs w:val="18"/>
          <w:color w:val="auto"/>
        </w:rPr>
        <w:t>reasonable assurance of achieving their objective, a control system, no matter how well conceived and operated, can provide only reasonable, but not absolute, assurance that the objectives of a control system are met. Further, any control system reflects limitations on resources, and the benefits of a control system must be considered relative to its costs. Because of the inherent limitations in all control systems, no evaluation of controls can provide absolute assurance that all control issues and instances of fraud, if any, within CBIZ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a control. A design of a control system is also based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may not be detected.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Conclusions</w:t>
      </w:r>
    </w:p>
    <w:p>
      <w:pPr>
        <w:spacing w:after="0" w:line="11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Our Disclosure Controls are designed to provide reasonable assurance of achieving their objectives and, based upon the Controls Evaluation, our CEO and CFO have concluded that as of the end of the period covered by this report, CBIZ’s Disclosure Controls were effective at that reasonable assurance level.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Internal Control over Financial Reporting</w:t>
      </w:r>
    </w:p>
    <w:p>
      <w:pPr>
        <w:spacing w:after="0" w:line="11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are currently in the process of fully integrating control processes and information systems related to the Marcum acquisition into our existing control environment. We believe that we have taken the necessary steps to monitor and maintain appropriate internal controls over financial reporting during this integration.</w:t>
      </w:r>
    </w:p>
    <w:p>
      <w:pPr>
        <w:spacing w:after="0" w:line="6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Other than the above, there have been no changes to our internal control over financial reporting during the quarter ended September 30, 2025 that have materially affected, or are reasonably likely to materially affect, our internal control over financial reporting.</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ind w:right="1960"/>
        <w:spacing w:after="0" w:line="262" w:lineRule="auto"/>
        <w:rPr>
          <w:sz w:val="20"/>
          <w:szCs w:val="20"/>
          <w:color w:val="auto"/>
        </w:rPr>
      </w:pPr>
      <w:r>
        <w:rPr>
          <w:rFonts w:ascii="Arial" w:cs="Arial" w:eastAsia="Arial" w:hAnsi="Arial"/>
          <w:sz w:val="18"/>
          <w:szCs w:val="18"/>
          <w:color w:val="auto"/>
        </w:rPr>
        <w:t>From time to time, we are involved in various legal proceedings relating to claims arising out of our operations. As of the date hereof, we are not engaged in any legal proceedings that are reasonably expected, individually or in the aggregate, to have a material adverse effect on our business, financial condition, results of operations or cash flows.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addition to the other information set forth in this Quarterly Report on Form 10-Q, you should carefully consider the factors discussed under “Risk Factors” in the Company’s Annual Report on Form 10-K for the year ended December 31, 2024 as filed with the SEC. These risks could materially and adversely affect the business, financial condition results of operations and cash flows of CBIZ. There have been no material changes to the risk factors previously disclosed under "Risk Factors" in the Company's Annual Report on Form 10-K for the year ended December 31, 2024.</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Recent sales of unregistered securities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three months ended September 30, 2025, approximately 13 thousand shares of our common stock were issued as payment for contingent consideration for previous acquisitions. In addition, the Company delivered 0.9 million shares of our common stock to the selling shareholders pursuant to the terms of the Transaction. The foregoing shares were issued in transactions not involving a public offering in reliance on the exemption from registration afforded by Section 4(a)(2) of the Securities Act. The persons to whom the shares were issued had</w:t>
      </w:r>
    </w:p>
    <w:p>
      <w:pPr>
        <w:sectPr>
          <w:pgSz w:w="11900" w:h="16838" w:orient="portrait"/>
          <w:cols w:equalWidth="0" w:num="1">
            <w:col w:w="11180"/>
          </w:cols>
          <w:pgMar w:left="320" w:top="998" w:right="39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type w:val="continuous"/>
        </w:sectPr>
      </w:pPr>
    </w:p>
    <w:bookmarkStart w:id="42" w:name="page43"/>
    <w:bookmarkEnd w:id="42"/>
    <w:p>
      <w:pPr>
        <w:jc w:val="both"/>
        <w:spacing w:after="0" w:line="268" w:lineRule="auto"/>
        <w:rPr>
          <w:sz w:val="20"/>
          <w:szCs w:val="20"/>
          <w:color w:val="auto"/>
        </w:rPr>
      </w:pPr>
      <w:r>
        <w:rPr>
          <w:rFonts w:ascii="Arial" w:cs="Arial" w:eastAsia="Arial" w:hAnsi="Arial"/>
          <w:sz w:val="18"/>
          <w:szCs w:val="18"/>
          <w:color w:val="auto"/>
        </w:rPr>
        <w:t>access to full information about the Company and represented that they acquired the shares for their own account and not for the purpose of distribution. The certificates for the shares contain a restrictive legend advising that the shares may not be offered for sale, sold, or otherwise transferred without having first been registered under the Securities Act or pursuant to an exemption from the Securities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Issuer purchases of equity securities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11, 2025, our Board of Directors authorized the continuation of the Share Repurchase Program, which has been renewed annually for the past twenty years. It was effective beginning March 31, 2025, from which the amount of shares of common stock available to be purchased by the Company was reset to five million shares, and the Share Repurchase Program expires on March 31, 2026. This authorization allows us to purchase shares of our common stock (i) in the open market, (ii) in privately negotiated transactions, or (iii) under Rule 10b5-1 trading plans.</w:t>
      </w:r>
    </w:p>
    <w:p>
      <w:pPr>
        <w:spacing w:after="0" w:line="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Privately negotiated transactions may include purchases from our employees, officers and directors, in accordance with SEC rules. Privately negotiated transactions may also include purchases from former partners of Marcum pursuant to the Company's right, but not obligation, to repurchase any shares issued to such former partners as consideration for the Transaction, in the event that the former partner intends to sell the shares in an open market transaction in the four years following closing. Rule 10b5-1 trading plans allow for repurchases during periods when we would not normally be active in the trading market due to regulatory restrictions. The Share Repurchase Program does not obligate us to acquire any specific number of shares and may be suspended at any time.</w:t>
      </w:r>
    </w:p>
    <w:p>
      <w:pPr>
        <w:spacing w:after="0" w:line="182"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Shares repurchased under the Share Repurchase Program during the three months ended September 30, 2025 (reported on a trade-date basis) are summarized in the table below (amounts in thousands, except per share data). Average price paid per share includes fees and commissions.</w:t>
      </w:r>
    </w:p>
    <w:p>
      <w:pPr>
        <w:spacing w:after="0" w:line="86"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4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Issuer Purchases of Equity Securities</w:t>
            </w: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Total Number of</w:t>
            </w:r>
          </w:p>
        </w:tc>
        <w:tc>
          <w:tcPr>
            <w:tcW w:w="1400" w:type="dxa"/>
            <w:vAlign w:val="bottom"/>
          </w:tcPr>
          <w:p>
            <w:pPr>
              <w:jc w:val="center"/>
              <w:ind w:right="62"/>
              <w:spacing w:after="0" w:line="147" w:lineRule="exact"/>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Average</w:t>
            </w:r>
          </w:p>
        </w:tc>
        <w:tc>
          <w:tcPr>
            <w:tcW w:w="1840" w:type="dxa"/>
            <w:vAlign w:val="bottom"/>
            <w:gridSpan w:val="3"/>
            <w:vMerge w:val="continue"/>
          </w:tcPr>
          <w:p>
            <w:pPr>
              <w:spacing w:after="0"/>
              <w:rPr>
                <w:sz w:val="12"/>
                <w:szCs w:val="12"/>
                <w:color w:val="auto"/>
              </w:rPr>
            </w:pPr>
          </w:p>
        </w:tc>
        <w:tc>
          <w:tcPr>
            <w:tcW w:w="14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4"/>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40" w:type="dxa"/>
            <w:vAlign w:val="bottom"/>
            <w:gridSpan w:val="3"/>
          </w:tcPr>
          <w:p>
            <w:pPr>
              <w:jc w:val="center"/>
              <w:ind w:right="240"/>
              <w:spacing w:after="0" w:line="145" w:lineRule="exact"/>
              <w:rPr>
                <w:sz w:val="20"/>
                <w:szCs w:val="20"/>
                <w:color w:val="auto"/>
              </w:rPr>
            </w:pPr>
            <w:r>
              <w:rPr>
                <w:rFonts w:ascii="Arial" w:cs="Arial" w:eastAsia="Arial" w:hAnsi="Arial"/>
                <w:sz w:val="14"/>
                <w:szCs w:val="14"/>
                <w:b w:val="1"/>
                <w:bCs w:val="1"/>
                <w:color w:val="auto"/>
              </w:rPr>
              <w:t>Shares</w:t>
            </w:r>
          </w:p>
        </w:tc>
        <w:tc>
          <w:tcPr>
            <w:tcW w:w="1400" w:type="dxa"/>
            <w:vAlign w:val="bottom"/>
          </w:tcPr>
          <w:p>
            <w:pPr>
              <w:jc w:val="center"/>
              <w:ind w:right="62"/>
              <w:spacing w:after="0" w:line="145" w:lineRule="exact"/>
              <w:rPr>
                <w:sz w:val="20"/>
                <w:szCs w:val="20"/>
                <w:color w:val="auto"/>
              </w:rPr>
            </w:pPr>
            <w:r>
              <w:rPr>
                <w:rFonts w:ascii="Arial" w:cs="Arial" w:eastAsia="Arial" w:hAnsi="Arial"/>
                <w:sz w:val="14"/>
                <w:szCs w:val="14"/>
                <w:b w:val="1"/>
                <w:bCs w:val="1"/>
                <w:color w:val="auto"/>
              </w:rPr>
              <w:t>Shares That</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Price Paid</w:t>
            </w:r>
          </w:p>
        </w:tc>
        <w:tc>
          <w:tcPr>
            <w:tcW w:w="18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Purchased as</w:t>
            </w:r>
          </w:p>
        </w:tc>
        <w:tc>
          <w:tcPr>
            <w:tcW w:w="14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35"/>
        </w:trPr>
        <w:tc>
          <w:tcPr>
            <w:tcW w:w="4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Third Quarter Purchases</w:t>
            </w: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Per</w:t>
            </w:r>
          </w:p>
        </w:tc>
        <w:tc>
          <w:tcPr>
            <w:tcW w:w="184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rPr>
              <w:t>Part of Publicly</w:t>
            </w:r>
          </w:p>
        </w:tc>
        <w:tc>
          <w:tcPr>
            <w:tcW w:w="140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rPr>
              <w:t>Purchased</w:t>
            </w:r>
          </w:p>
        </w:tc>
        <w:tc>
          <w:tcPr>
            <w:tcW w:w="0" w:type="dxa"/>
            <w:vAlign w:val="bottom"/>
          </w:tcPr>
          <w:p>
            <w:pPr>
              <w:spacing w:after="0"/>
              <w:rPr>
                <w:sz w:val="1"/>
                <w:szCs w:val="1"/>
                <w:color w:val="auto"/>
              </w:rPr>
            </w:pPr>
          </w:p>
        </w:tc>
      </w:tr>
      <w:tr>
        <w:trPr>
          <w:trHeight w:val="189"/>
        </w:trPr>
        <w:tc>
          <w:tcPr>
            <w:tcW w:w="4600" w:type="dxa"/>
            <w:vAlign w:val="bottom"/>
            <w:gridSpan w:val="2"/>
            <w:vMerge w:val="continue"/>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w:t>
            </w:r>
          </w:p>
        </w:tc>
        <w:tc>
          <w:tcPr>
            <w:tcW w:w="1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Announced Plan</w:t>
            </w:r>
          </w:p>
        </w:tc>
        <w:tc>
          <w:tcPr>
            <w:tcW w:w="1400" w:type="dxa"/>
            <w:vAlign w:val="bottom"/>
          </w:tcPr>
          <w:p>
            <w:pPr>
              <w:jc w:val="center"/>
              <w:ind w:right="62"/>
              <w:spacing w:after="0"/>
              <w:rPr>
                <w:sz w:val="20"/>
                <w:szCs w:val="20"/>
                <w:color w:val="auto"/>
              </w:rPr>
            </w:pPr>
            <w:r>
              <w:rPr>
                <w:rFonts w:ascii="Arial" w:cs="Arial" w:eastAsia="Arial" w:hAnsi="Arial"/>
                <w:sz w:val="14"/>
                <w:szCs w:val="14"/>
                <w:b w:val="1"/>
                <w:bCs w:val="1"/>
                <w:color w:val="auto"/>
              </w:rPr>
              <w:t>Under the Plan</w:t>
            </w:r>
          </w:p>
        </w:tc>
        <w:tc>
          <w:tcPr>
            <w:tcW w:w="0" w:type="dxa"/>
            <w:vAlign w:val="bottom"/>
          </w:tcPr>
          <w:p>
            <w:pPr>
              <w:spacing w:after="0"/>
              <w:rPr>
                <w:sz w:val="1"/>
                <w:szCs w:val="1"/>
                <w:color w:val="auto"/>
              </w:rPr>
            </w:pPr>
          </w:p>
        </w:tc>
      </w:tr>
      <w:tr>
        <w:trPr>
          <w:trHeight w:val="223"/>
        </w:trPr>
        <w:tc>
          <w:tcPr>
            <w:tcW w:w="4480" w:type="dxa"/>
            <w:vAlign w:val="bottom"/>
            <w:tcBorders>
              <w:top w:val="single" w:sz="8" w:color="auto"/>
            </w:tcBorders>
            <w:shd w:val="clear" w:color="auto" w:fill="CFF0FC"/>
          </w:tcPr>
          <w:p>
            <w:pPr>
              <w:ind w:left="220"/>
              <w:spacing w:after="0"/>
              <w:rPr>
                <w:sz w:val="20"/>
                <w:szCs w:val="20"/>
                <w:color w:val="auto"/>
              </w:rPr>
            </w:pPr>
            <w:r>
              <w:rPr>
                <w:rFonts w:ascii="Arial" w:cs="Arial" w:eastAsia="Arial" w:hAnsi="Arial"/>
                <w:sz w:val="18"/>
                <w:szCs w:val="18"/>
                <w:color w:val="auto"/>
              </w:rPr>
              <w:t>July 1 – July 31, 2025</w:t>
            </w: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ind w:right="1"/>
              <w:spacing w:after="0"/>
              <w:rPr>
                <w:sz w:val="20"/>
                <w:szCs w:val="20"/>
                <w:color w:val="auto"/>
              </w:rPr>
            </w:pPr>
            <w:r>
              <w:rPr>
                <w:rFonts w:ascii="Arial" w:cs="Arial" w:eastAsia="Arial" w:hAnsi="Arial"/>
                <w:sz w:val="18"/>
                <w:szCs w:val="18"/>
                <w:color w:val="auto"/>
              </w:rPr>
              <w:t>73.42</w:t>
            </w:r>
          </w:p>
        </w:tc>
        <w:tc>
          <w:tcPr>
            <w:tcW w:w="10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w:t>
            </w:r>
          </w:p>
        </w:tc>
        <w:tc>
          <w:tcPr>
            <w:tcW w:w="0" w:type="dxa"/>
            <w:vAlign w:val="bottom"/>
          </w:tcPr>
          <w:p>
            <w:pPr>
              <w:spacing w:after="0"/>
              <w:rPr>
                <w:sz w:val="1"/>
                <w:szCs w:val="1"/>
                <w:color w:val="auto"/>
              </w:rPr>
            </w:pPr>
          </w:p>
        </w:tc>
      </w:tr>
      <w:tr>
        <w:trPr>
          <w:trHeight w:val="230"/>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August 1 – August 31, 2025</w:t>
            </w:r>
          </w:p>
        </w:tc>
        <w:tc>
          <w:tcPr>
            <w:tcW w:w="1060" w:type="dxa"/>
            <w:vAlign w:val="bottom"/>
          </w:tcPr>
          <w:p>
            <w:pPr>
              <w:jc w:val="right"/>
              <w:spacing w:after="0"/>
              <w:rPr>
                <w:sz w:val="20"/>
                <w:szCs w:val="20"/>
                <w:color w:val="auto"/>
              </w:rPr>
            </w:pPr>
            <w:r>
              <w:rPr>
                <w:rFonts w:ascii="Arial" w:cs="Arial" w:eastAsia="Arial" w:hAnsi="Arial"/>
                <w:sz w:val="18"/>
                <w:szCs w:val="18"/>
                <w:color w:val="auto"/>
              </w:rPr>
              <w:t>444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
              <w:spacing w:after="0"/>
              <w:rPr>
                <w:sz w:val="20"/>
                <w:szCs w:val="20"/>
                <w:color w:val="auto"/>
              </w:rPr>
            </w:pPr>
            <w:r>
              <w:rPr>
                <w:rFonts w:ascii="Arial" w:cs="Arial" w:eastAsia="Arial" w:hAnsi="Arial"/>
                <w:sz w:val="18"/>
                <w:szCs w:val="18"/>
                <w:color w:val="auto"/>
              </w:rPr>
              <w:t>63.93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3,183</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September 1 - September 30, 2025</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3,183</w:t>
            </w:r>
          </w:p>
        </w:tc>
        <w:tc>
          <w:tcPr>
            <w:tcW w:w="0" w:type="dxa"/>
            <w:vAlign w:val="bottom"/>
          </w:tcPr>
          <w:p>
            <w:pPr>
              <w:spacing w:after="0"/>
              <w:rPr>
                <w:sz w:val="1"/>
                <w:szCs w:val="1"/>
                <w:color w:val="auto"/>
              </w:rPr>
            </w:pPr>
          </w:p>
        </w:tc>
      </w:tr>
      <w:tr>
        <w:trPr>
          <w:trHeight w:val="223"/>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Third Quarter Purchases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According to the terms of our 2024 Credit Facilities, our ability to declare or make any dividend payments is limited. Refer to Note 5, Debt and Financing Arrangements, to the condensed consolidated financial statements for a description of working capital restrictions and limitations on the payment of dividends.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During the quarter ended September 30, 2025, no director or officer of the Company adopted or terminated any contract, instruction or written plan for the purchase or sale of securities of the Company intended to satisfy the affirmative defense condition of Rule 10b5-1(c) of the Exchange Act or any "non-Rule 10b5-1 trading arrangement" (as defined in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6. Exhibits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10.1</w:t>
            </w:r>
          </w:p>
        </w:tc>
        <w:tc>
          <w:tcPr>
            <w:tcW w:w="900" w:type="dxa"/>
            <w:vAlign w:val="bottom"/>
            <w:shd w:val="clear" w:color="auto" w:fill="CCEEFF"/>
          </w:tcPr>
          <w:p>
            <w:pPr>
              <w:spacing w:after="0"/>
              <w:rPr>
                <w:sz w:val="17"/>
                <w:szCs w:val="17"/>
                <w:color w:val="auto"/>
              </w:rPr>
            </w:pPr>
          </w:p>
        </w:tc>
        <w:tc>
          <w:tcPr>
            <w:tcW w:w="9800" w:type="dxa"/>
            <w:vAlign w:val="bottom"/>
            <w:gridSpan w:val="7"/>
            <w:shd w:val="clear" w:color="auto" w:fill="CCEEFF"/>
          </w:tcPr>
          <w:p>
            <w:pPr>
              <w:ind w:left="20"/>
              <w:spacing w:after="0"/>
              <w:rPr>
                <w:rFonts w:ascii="Arial" w:cs="Arial" w:eastAsia="Arial" w:hAnsi="Arial"/>
                <w:sz w:val="18"/>
                <w:szCs w:val="18"/>
                <w:color w:val="0000FF"/>
              </w:rPr>
            </w:pPr>
            <w:hyperlink r:id="rId75">
              <w:r>
                <w:rPr>
                  <w:rFonts w:ascii="Arial" w:cs="Arial" w:eastAsia="Arial" w:hAnsi="Arial"/>
                  <w:sz w:val="18"/>
                  <w:szCs w:val="18"/>
                  <w:color w:val="0000FF"/>
                </w:rPr>
                <w:t>Seventh Amendment to Loan Agreement, dated July 31, 2025, by and among CBIZ Benefit and Insurance Services, Inc.</w:t>
              </w:r>
            </w:hyperlink>
          </w:p>
        </w:tc>
      </w:tr>
      <w:tr>
        <w:trPr>
          <w:trHeight w:val="156"/>
        </w:trPr>
        <w:tc>
          <w:tcPr>
            <w:tcW w:w="5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9580" w:type="dxa"/>
            <w:vAlign w:val="bottom"/>
            <w:tcBorders>
              <w:top w:val="single" w:sz="8" w:color="0000FF"/>
            </w:tcBorders>
            <w:gridSpan w:val="6"/>
            <w:shd w:val="clear" w:color="auto" w:fill="CCEEFF"/>
          </w:tcPr>
          <w:p>
            <w:pPr>
              <w:ind w:left="20"/>
              <w:spacing w:after="0" w:line="156" w:lineRule="exact"/>
              <w:rPr>
                <w:rFonts w:ascii="Arial" w:cs="Arial" w:eastAsia="Arial" w:hAnsi="Arial"/>
                <w:sz w:val="18"/>
                <w:szCs w:val="18"/>
                <w:color w:val="0000FF"/>
              </w:rPr>
            </w:pPr>
            <w:hyperlink r:id="rId75">
              <w:r>
                <w:rPr>
                  <w:rFonts w:ascii="Arial" w:cs="Arial" w:eastAsia="Arial" w:hAnsi="Arial"/>
                  <w:sz w:val="18"/>
                  <w:szCs w:val="18"/>
                  <w:color w:val="0000FF"/>
                </w:rPr>
                <w:t>and Huntington National Bank. (filed as Exhibit 10.2 to the Company's Quarterly Report on Form 10-Q, File No. 001-</w:t>
              </w:r>
            </w:hyperlink>
          </w:p>
        </w:tc>
        <w:tc>
          <w:tcPr>
            <w:tcW w:w="220" w:type="dxa"/>
            <w:vAlign w:val="bottom"/>
            <w:tcBorders>
              <w:top w:val="single" w:sz="8" w:color="CCEEFF"/>
            </w:tcBorders>
            <w:shd w:val="clear" w:color="auto" w:fill="CCEEFF"/>
          </w:tcPr>
          <w:p>
            <w:pPr>
              <w:spacing w:after="0"/>
              <w:rPr>
                <w:sz w:val="13"/>
                <w:szCs w:val="13"/>
                <w:color w:val="auto"/>
              </w:rPr>
            </w:pPr>
          </w:p>
        </w:tc>
      </w:tr>
      <w:tr>
        <w:trPr>
          <w:trHeight w:val="189"/>
        </w:trPr>
        <w:tc>
          <w:tcPr>
            <w:tcW w:w="52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5200" w:type="dxa"/>
            <w:vAlign w:val="bottom"/>
            <w:tcBorders>
              <w:top w:val="single" w:sz="8" w:color="0000FF"/>
              <w:bottom w:val="single" w:sz="8" w:color="0000FF"/>
            </w:tcBorders>
            <w:shd w:val="clear" w:color="auto" w:fill="CCEEFF"/>
          </w:tcPr>
          <w:p>
            <w:pPr>
              <w:ind w:left="20"/>
              <w:spacing w:after="0" w:line="156" w:lineRule="exact"/>
              <w:rPr>
                <w:rFonts w:ascii="Arial" w:cs="Arial" w:eastAsia="Arial" w:hAnsi="Arial"/>
                <w:sz w:val="18"/>
                <w:szCs w:val="18"/>
                <w:color w:val="0000FF"/>
                <w:w w:val="99"/>
              </w:rPr>
            </w:pPr>
            <w:hyperlink r:id="rId75">
              <w:r>
                <w:rPr>
                  <w:rFonts w:ascii="Arial" w:cs="Arial" w:eastAsia="Arial" w:hAnsi="Arial"/>
                  <w:sz w:val="18"/>
                  <w:szCs w:val="18"/>
                  <w:color w:val="0000FF"/>
                  <w:w w:val="99"/>
                </w:rPr>
                <w:t>329621, on July 31, 2025, and incorporated herein by reference).</w:t>
              </w:r>
            </w:hyperlink>
          </w:p>
        </w:tc>
        <w:tc>
          <w:tcPr>
            <w:tcW w:w="404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56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189"/>
        </w:trPr>
        <w:tc>
          <w:tcPr>
            <w:tcW w:w="520" w:type="dxa"/>
            <w:vAlign w:val="bottom"/>
          </w:tcPr>
          <w:p>
            <w:pPr>
              <w:ind w:left="140"/>
              <w:spacing w:after="0" w:line="189" w:lineRule="exact"/>
              <w:rPr>
                <w:sz w:val="20"/>
                <w:szCs w:val="20"/>
                <w:color w:val="auto"/>
              </w:rPr>
            </w:pPr>
            <w:r>
              <w:rPr>
                <w:rFonts w:ascii="Arial" w:cs="Arial" w:eastAsia="Arial" w:hAnsi="Arial"/>
                <w:sz w:val="18"/>
                <w:szCs w:val="18"/>
                <w:color w:val="auto"/>
              </w:rPr>
              <w:t>31.1</w:t>
            </w:r>
          </w:p>
        </w:tc>
        <w:tc>
          <w:tcPr>
            <w:tcW w:w="900" w:type="dxa"/>
            <w:vAlign w:val="bottom"/>
          </w:tcPr>
          <w:p>
            <w:pPr>
              <w:ind w:left="20"/>
              <w:spacing w:after="0" w:line="189" w:lineRule="exact"/>
              <w:rPr>
                <w:sz w:val="20"/>
                <w:szCs w:val="20"/>
                <w:color w:val="auto"/>
              </w:rPr>
            </w:pPr>
            <w:r>
              <w:rPr>
                <w:rFonts w:ascii="Arial" w:cs="Arial" w:eastAsia="Arial" w:hAnsi="Arial"/>
                <w:sz w:val="18"/>
                <w:szCs w:val="18"/>
                <w:color w:val="auto"/>
              </w:rPr>
              <w:t>*</w:t>
            </w:r>
          </w:p>
        </w:tc>
        <w:tc>
          <w:tcPr>
            <w:tcW w:w="9800" w:type="dxa"/>
            <w:vAlign w:val="bottom"/>
            <w:gridSpan w:val="7"/>
          </w:tcPr>
          <w:p>
            <w:pPr>
              <w:ind w:left="20"/>
              <w:spacing w:after="0" w:line="189" w:lineRule="exact"/>
              <w:rPr>
                <w:sz w:val="20"/>
                <w:szCs w:val="20"/>
                <w:color w:val="auto"/>
              </w:rPr>
            </w:pPr>
            <w:r>
              <w:rPr>
                <w:rFonts w:ascii="Arial" w:cs="Arial" w:eastAsia="Arial" w:hAnsi="Arial"/>
                <w:sz w:val="18"/>
                <w:szCs w:val="18"/>
                <w:color w:val="0000FF"/>
              </w:rPr>
              <w:t>Certification of Chief Executive Officer Pursuant to Section 302 of the Sarbanes Oxley Act of 2002.</w:t>
            </w:r>
          </w:p>
        </w:tc>
      </w:tr>
      <w:tr>
        <w:trPr>
          <w:trHeight w:val="21"/>
        </w:trPr>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0" w:type="dxa"/>
            <w:vAlign w:val="bottom"/>
            <w:tcBorders>
              <w:top w:val="single" w:sz="8" w:color="0000FF"/>
            </w:tcBorders>
          </w:tcPr>
          <w:p>
            <w:pPr>
              <w:spacing w:after="0" w:line="20" w:lineRule="exact"/>
              <w:rPr>
                <w:sz w:val="1"/>
                <w:szCs w:val="1"/>
                <w:color w:val="auto"/>
              </w:rPr>
            </w:pPr>
          </w:p>
        </w:tc>
        <w:tc>
          <w:tcPr>
            <w:tcW w:w="2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2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31.2</w:t>
            </w:r>
          </w:p>
        </w:tc>
        <w:tc>
          <w:tcPr>
            <w:tcW w:w="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w:t>
            </w:r>
          </w:p>
        </w:tc>
        <w:tc>
          <w:tcPr>
            <w:tcW w:w="7800" w:type="dxa"/>
            <w:vAlign w:val="bottom"/>
            <w:tcBorders>
              <w:bottom w:val="single" w:sz="8" w:color="0000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0000FF"/>
                <w:w w:val="99"/>
              </w:rPr>
              <w:t>Certification of Chief Financial Officer Pursuant to Section 302 of the Sarbanes-Oxley Act of 2002.</w:t>
            </w:r>
          </w:p>
        </w:tc>
        <w:tc>
          <w:tcPr>
            <w:tcW w:w="2000" w:type="dxa"/>
            <w:vAlign w:val="bottom"/>
            <w:tcBorders>
              <w:bottom w:val="single" w:sz="8" w:color="CCEEFF"/>
            </w:tcBorders>
            <w:gridSpan w:val="5"/>
            <w:shd w:val="clear" w:color="auto" w:fill="CCEEFF"/>
          </w:tcPr>
          <w:p>
            <w:pPr>
              <w:spacing w:after="0"/>
              <w:rPr>
                <w:sz w:val="18"/>
                <w:szCs w:val="18"/>
                <w:color w:val="auto"/>
              </w:rPr>
            </w:pPr>
          </w:p>
        </w:tc>
      </w:tr>
      <w:tr>
        <w:trPr>
          <w:trHeight w:val="189"/>
        </w:trPr>
        <w:tc>
          <w:tcPr>
            <w:tcW w:w="520" w:type="dxa"/>
            <w:vAlign w:val="bottom"/>
          </w:tcPr>
          <w:p>
            <w:pPr>
              <w:ind w:left="140"/>
              <w:spacing w:after="0" w:line="189" w:lineRule="exact"/>
              <w:rPr>
                <w:sz w:val="20"/>
                <w:szCs w:val="20"/>
                <w:color w:val="auto"/>
              </w:rPr>
            </w:pPr>
            <w:r>
              <w:rPr>
                <w:rFonts w:ascii="Arial" w:cs="Arial" w:eastAsia="Arial" w:hAnsi="Arial"/>
                <w:sz w:val="18"/>
                <w:szCs w:val="18"/>
                <w:color w:val="auto"/>
              </w:rPr>
              <w:t>32.1</w:t>
            </w:r>
          </w:p>
        </w:tc>
        <w:tc>
          <w:tcPr>
            <w:tcW w:w="900" w:type="dxa"/>
            <w:vAlign w:val="bottom"/>
          </w:tcPr>
          <w:p>
            <w:pPr>
              <w:ind w:left="20"/>
              <w:spacing w:after="0" w:line="189" w:lineRule="exact"/>
              <w:rPr>
                <w:sz w:val="20"/>
                <w:szCs w:val="20"/>
                <w:color w:val="auto"/>
              </w:rPr>
            </w:pPr>
            <w:r>
              <w:rPr>
                <w:rFonts w:ascii="Arial" w:cs="Arial" w:eastAsia="Arial" w:hAnsi="Arial"/>
                <w:sz w:val="18"/>
                <w:szCs w:val="18"/>
                <w:color w:val="auto"/>
              </w:rPr>
              <w:t>**</w:t>
            </w:r>
          </w:p>
        </w:tc>
        <w:tc>
          <w:tcPr>
            <w:tcW w:w="9800" w:type="dxa"/>
            <w:vAlign w:val="bottom"/>
            <w:gridSpan w:val="7"/>
          </w:tcPr>
          <w:p>
            <w:pPr>
              <w:ind w:left="20"/>
              <w:spacing w:after="0" w:line="189" w:lineRule="exact"/>
              <w:rPr>
                <w:sz w:val="20"/>
                <w:szCs w:val="20"/>
                <w:color w:val="auto"/>
              </w:rPr>
            </w:pPr>
            <w:r>
              <w:rPr>
                <w:rFonts w:ascii="Arial" w:cs="Arial" w:eastAsia="Arial" w:hAnsi="Arial"/>
                <w:sz w:val="18"/>
                <w:szCs w:val="18"/>
                <w:color w:val="0000FF"/>
              </w:rPr>
              <w:t>Certification of Chief Executive Officer Pursuant to Section 906 of the Sarbanes-Oxley Act of 2002.</w:t>
            </w:r>
          </w:p>
        </w:tc>
      </w:tr>
      <w:tr>
        <w:trPr>
          <w:trHeight w:val="20"/>
        </w:trPr>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0" w:type="dxa"/>
            <w:vAlign w:val="bottom"/>
            <w:tcBorders>
              <w:top w:val="single" w:sz="8" w:color="0000FF"/>
            </w:tcBorders>
          </w:tcPr>
          <w:p>
            <w:pPr>
              <w:spacing w:after="0" w:line="20" w:lineRule="exact"/>
              <w:rPr>
                <w:sz w:val="1"/>
                <w:szCs w:val="1"/>
                <w:color w:val="auto"/>
              </w:rPr>
            </w:pPr>
          </w:p>
        </w:tc>
        <w:tc>
          <w:tcPr>
            <w:tcW w:w="2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2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32.2</w:t>
            </w:r>
          </w:p>
        </w:tc>
        <w:tc>
          <w:tcPr>
            <w:tcW w:w="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w:t>
            </w:r>
          </w:p>
        </w:tc>
        <w:tc>
          <w:tcPr>
            <w:tcW w:w="7800" w:type="dxa"/>
            <w:vAlign w:val="bottom"/>
            <w:tcBorders>
              <w:bottom w:val="single" w:sz="8" w:color="0000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0000FF"/>
                <w:w w:val="99"/>
              </w:rPr>
              <w:t>Certification of Chief Financial Officer Pursuant to Section 906 of the Sarbanes-Oxley Act of 2002.</w:t>
            </w:r>
          </w:p>
        </w:tc>
        <w:tc>
          <w:tcPr>
            <w:tcW w:w="2000" w:type="dxa"/>
            <w:vAlign w:val="bottom"/>
            <w:tcBorders>
              <w:bottom w:val="single" w:sz="8" w:color="CCEEFF"/>
            </w:tcBorders>
            <w:gridSpan w:val="5"/>
            <w:shd w:val="clear" w:color="auto" w:fill="CCEEFF"/>
          </w:tcPr>
          <w:p>
            <w:pPr>
              <w:spacing w:after="0"/>
              <w:rPr>
                <w:sz w:val="18"/>
                <w:szCs w:val="18"/>
                <w:color w:val="auto"/>
              </w:rPr>
            </w:pPr>
          </w:p>
        </w:tc>
      </w:tr>
      <w:tr>
        <w:trPr>
          <w:trHeight w:val="175"/>
        </w:trPr>
        <w:tc>
          <w:tcPr>
            <w:tcW w:w="1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101.INS</w:t>
            </w:r>
          </w:p>
        </w:tc>
        <w:tc>
          <w:tcPr>
            <w:tcW w:w="9800" w:type="dxa"/>
            <w:vAlign w:val="bottom"/>
            <w:gridSpan w:val="7"/>
          </w:tcPr>
          <w:p>
            <w:pPr>
              <w:ind w:left="20"/>
              <w:spacing w:after="0" w:line="176" w:lineRule="exact"/>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w:t>
            </w:r>
          </w:p>
        </w:tc>
      </w:tr>
      <w:tr>
        <w:trPr>
          <w:trHeight w:val="241"/>
        </w:trPr>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0" w:type="dxa"/>
            <w:vAlign w:val="bottom"/>
            <w:gridSpan w:val="7"/>
          </w:tcPr>
          <w:p>
            <w:pPr>
              <w:ind w:left="20"/>
              <w:spacing w:after="0"/>
              <w:rPr>
                <w:sz w:val="20"/>
                <w:szCs w:val="20"/>
                <w:color w:val="auto"/>
              </w:rPr>
            </w:pPr>
            <w:r>
              <w:rPr>
                <w:rFonts w:ascii="Arial" w:cs="Arial" w:eastAsia="Arial" w:hAnsi="Arial"/>
                <w:sz w:val="18"/>
                <w:szCs w:val="18"/>
                <w:color w:val="auto"/>
              </w:rPr>
              <w:t>embedded within the Inline XBRL document*</w:t>
            </w:r>
          </w:p>
        </w:tc>
      </w:tr>
      <w:tr>
        <w:trPr>
          <w:trHeight w:val="232"/>
        </w:trPr>
        <w:tc>
          <w:tcPr>
            <w:tcW w:w="1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980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9800" w:type="dxa"/>
            <w:vAlign w:val="bottom"/>
            <w:gridSpan w:val="7"/>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1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980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9800" w:type="dxa"/>
            <w:vAlign w:val="bottom"/>
            <w:gridSpan w:val="7"/>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980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right="1380" w:firstLine="26"/>
        <w:spacing w:after="0" w:line="419" w:lineRule="auto"/>
        <w:tabs>
          <w:tab w:leader="none" w:pos="1422"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the Exhibit 101 attachments) * Indicates documents filed herewith.</w:t>
      </w: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Indicates document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CBIZ, Inc.</w:t>
            </w:r>
          </w:p>
        </w:tc>
      </w:tr>
      <w:tr>
        <w:trPr>
          <w:trHeight w:val="232"/>
        </w:trPr>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436"/>
        </w:trPr>
        <w:tc>
          <w:tcPr>
            <w:tcW w:w="3960" w:type="dxa"/>
            <w:vAlign w:val="bottom"/>
            <w:gridSpan w:val="3"/>
          </w:tcPr>
          <w:p>
            <w:pPr>
              <w:spacing w:after="0"/>
              <w:rPr>
                <w:sz w:val="20"/>
                <w:szCs w:val="20"/>
                <w:color w:val="auto"/>
              </w:rPr>
            </w:pPr>
            <w:r>
              <w:rPr>
                <w:rFonts w:ascii="Arial" w:cs="Arial" w:eastAsia="Arial" w:hAnsi="Arial"/>
                <w:sz w:val="18"/>
                <w:szCs w:val="18"/>
                <w:color w:val="auto"/>
              </w:rPr>
              <w:t>Date:  October 30, 2025</w:t>
            </w:r>
          </w:p>
        </w:tc>
        <w:tc>
          <w:tcPr>
            <w:tcW w:w="7240" w:type="dxa"/>
            <w:vAlign w:val="bottom"/>
            <w:gridSpan w:val="2"/>
          </w:tcPr>
          <w:p>
            <w:pPr>
              <w:ind w:left="1940"/>
              <w:spacing w:after="0"/>
              <w:rPr>
                <w:sz w:val="20"/>
                <w:szCs w:val="20"/>
                <w:color w:val="auto"/>
              </w:rPr>
            </w:pPr>
            <w:r>
              <w:rPr>
                <w:rFonts w:ascii="Arial" w:cs="Arial" w:eastAsia="Arial" w:hAnsi="Arial"/>
                <w:sz w:val="18"/>
                <w:szCs w:val="18"/>
                <w:color w:val="auto"/>
              </w:rPr>
              <w:t>By:   /s/ BRAD LAKHIA</w:t>
            </w:r>
          </w:p>
        </w:tc>
      </w:tr>
      <w:tr>
        <w:trPr>
          <w:trHeight w:val="21"/>
        </w:trPr>
        <w:tc>
          <w:tcPr>
            <w:tcW w:w="66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r>
      <w:tr>
        <w:trPr>
          <w:trHeight w:val="218"/>
        </w:trPr>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Brad Lakhia</w:t>
            </w:r>
          </w:p>
        </w:tc>
      </w:tr>
      <w:tr>
        <w:trPr>
          <w:trHeight w:val="229"/>
        </w:trPr>
        <w:tc>
          <w:tcPr>
            <w:tcW w:w="6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9"/>
        </w:trPr>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Duly Authorized Officer and Principal Financial Officer</w:t>
            </w:r>
          </w:p>
        </w:tc>
      </w:tr>
    </w:tbl>
    <w:p>
      <w:pPr>
        <w:sectPr>
          <w:pgSz w:w="11900" w:h="16838" w:orient="portrait"/>
          <w:cols w:equalWidth="0" w:num="1">
            <w:col w:w="11220"/>
          </w:cols>
          <w:pgMar w:left="320" w:top="890" w:right="35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OF CBIZ, INC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Jerome P. Grisko, Jr., certify that:</w:t>
      </w:r>
    </w:p>
    <w:p>
      <w:pPr>
        <w:spacing w:after="0" w:line="117"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CBIZ,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48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hanging="196"/>
        <w:spacing w:after="0"/>
        <w:tabs>
          <w:tab w:leader="none" w:pos="15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w:t>
      </w:r>
    </w:p>
    <w:p>
      <w:pPr>
        <w:spacing w:after="0" w:line="27" w:lineRule="exact"/>
        <w:rPr>
          <w:rFonts w:ascii="Times New Roman" w:cs="Times New Roman" w:eastAsia="Times New Roman" w:hAnsi="Times New Roman"/>
          <w:sz w:val="18"/>
          <w:szCs w:val="18"/>
          <w:color w:val="auto"/>
        </w:rPr>
      </w:pPr>
    </w:p>
    <w:p>
      <w:pPr>
        <w:ind w:left="130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8"/>
          <w:szCs w:val="18"/>
          <w:color w:val="auto"/>
        </w:rPr>
      </w:pPr>
    </w:p>
    <w:p>
      <w:pPr>
        <w:ind w:left="1300" w:right="60" w:firstLine="4"/>
        <w:spacing w:after="0" w:line="312" w:lineRule="auto"/>
        <w:tabs>
          <w:tab w:leader="none" w:pos="1485"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80" w:firstLine="4"/>
        <w:spacing w:after="0" w:line="266" w:lineRule="auto"/>
        <w:tabs>
          <w:tab w:leader="none" w:pos="14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260" w:firstLine="4"/>
        <w:spacing w:after="0" w:line="282" w:lineRule="auto"/>
        <w:tabs>
          <w:tab w:leader="none" w:pos="148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540" w:firstLine="4"/>
        <w:spacing w:after="0" w:line="282" w:lineRule="auto"/>
        <w:tabs>
          <w:tab w:leader="none" w:pos="14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2025</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JEROME P. GRISKO, JR.</w:t>
            </w:r>
          </w:p>
        </w:tc>
      </w:tr>
      <w:tr>
        <w:trPr>
          <w:trHeight w:val="218"/>
        </w:trPr>
        <w:tc>
          <w:tcPr>
            <w:tcW w:w="68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Jerome P. Grisko, Jr.</w:t>
            </w:r>
          </w:p>
        </w:tc>
      </w:tr>
      <w:tr>
        <w:trPr>
          <w:trHeight w:val="234"/>
        </w:trPr>
        <w:tc>
          <w:tcPr>
            <w:tcW w:w="6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OF CBIZ,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 Lakhia, certify that:</w:t>
      </w:r>
    </w:p>
    <w:p>
      <w:pPr>
        <w:spacing w:after="0" w:line="117"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CBIZ,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48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hanging="196"/>
        <w:spacing w:after="0"/>
        <w:tabs>
          <w:tab w:leader="none" w:pos="15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w:t>
      </w:r>
    </w:p>
    <w:p>
      <w:pPr>
        <w:spacing w:after="0" w:line="27" w:lineRule="exact"/>
        <w:rPr>
          <w:rFonts w:ascii="Times New Roman" w:cs="Times New Roman" w:eastAsia="Times New Roman" w:hAnsi="Times New Roman"/>
          <w:sz w:val="18"/>
          <w:szCs w:val="18"/>
          <w:color w:val="auto"/>
        </w:rPr>
      </w:pPr>
    </w:p>
    <w:p>
      <w:pPr>
        <w:ind w:left="130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8"/>
          <w:szCs w:val="18"/>
          <w:color w:val="auto"/>
        </w:rPr>
      </w:pPr>
    </w:p>
    <w:p>
      <w:pPr>
        <w:ind w:left="1300" w:right="60" w:firstLine="4"/>
        <w:spacing w:after="0" w:line="312" w:lineRule="auto"/>
        <w:tabs>
          <w:tab w:leader="none" w:pos="1485"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80" w:firstLine="4"/>
        <w:spacing w:after="0" w:line="266" w:lineRule="auto"/>
        <w:tabs>
          <w:tab w:leader="none" w:pos="14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260" w:firstLine="4"/>
        <w:spacing w:after="0" w:line="282" w:lineRule="auto"/>
        <w:tabs>
          <w:tab w:leader="none" w:pos="148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540" w:firstLine="4"/>
        <w:spacing w:after="0" w:line="282" w:lineRule="auto"/>
        <w:tabs>
          <w:tab w:leader="none" w:pos="14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2025</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BRAD LAKHIA</w:t>
            </w:r>
          </w:p>
        </w:tc>
      </w:tr>
      <w:tr>
        <w:trPr>
          <w:trHeight w:val="218"/>
        </w:trPr>
        <w:tc>
          <w:tcPr>
            <w:tcW w:w="68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 Lakhia</w:t>
            </w:r>
          </w:p>
        </w:tc>
      </w:tr>
      <w:tr>
        <w:trPr>
          <w:trHeight w:val="234"/>
        </w:trPr>
        <w:tc>
          <w:tcPr>
            <w:tcW w:w="6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OF CBIZ, INC.</w:t>
      </w:r>
    </w:p>
    <w:p>
      <w:pPr>
        <w:spacing w:after="0" w:line="22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This certification is provided pursuant to 18 U.S.C. § 1350, as adopted pursuant to § 906 of the Sarbanes-Oxley Act of 2002, and accompanies the Quarterly Report on Form 10-Q for the period ended September 30, 2025 (the “Form 10-Q”) of CBIZ, Inc. (the “Issuer”) filed with the Securities and Exchange Commission on the date 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Jerome P. Grisko, Jr., the President and Chief Executive Officer of the Issuer, certify that to the best of my knowledge:</w:t>
      </w:r>
    </w:p>
    <w:p>
      <w:pPr>
        <w:spacing w:after="0" w:line="117" w:lineRule="exact"/>
        <w:rPr>
          <w:sz w:val="20"/>
          <w:szCs w:val="20"/>
          <w:color w:val="auto"/>
        </w:rPr>
      </w:pPr>
    </w:p>
    <w:p>
      <w:pPr>
        <w:ind w:left="1960" w:right="180" w:hanging="656"/>
        <w:spacing w:after="0" w:line="282" w:lineRule="auto"/>
        <w:tabs>
          <w:tab w:leader="none" w:pos="19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960" w:right="640" w:hanging="656"/>
        <w:spacing w:after="0" w:line="282" w:lineRule="auto"/>
        <w:tabs>
          <w:tab w:leader="none" w:pos="19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Issuer.</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2025</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JEROME P. GRISKO</w:t>
            </w:r>
          </w:p>
        </w:tc>
      </w:tr>
      <w:tr>
        <w:trPr>
          <w:trHeight w:val="218"/>
        </w:trPr>
        <w:tc>
          <w:tcPr>
            <w:tcW w:w="68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Jerome P. Grisko, Jr.</w:t>
            </w:r>
          </w:p>
        </w:tc>
      </w:tr>
      <w:tr>
        <w:trPr>
          <w:trHeight w:val="234"/>
        </w:trPr>
        <w:tc>
          <w:tcPr>
            <w:tcW w:w="6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OF CBIZ, INC.</w:t>
      </w:r>
    </w:p>
    <w:p>
      <w:pPr>
        <w:spacing w:after="0" w:line="22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This certification is provided pursuant to 18 U.S.C. § 1350, as adopted pursuant to § 906 of the Sarbanes-Oxley Act of 2002, and accompanies the Quarterly Report on Form 10-Q for the period ended September 30, 2025 (the “Form 10-Q”) of CBIZ, Inc. (the “Issuer”) filed with the Securities and Exchange Commission on the date 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 Lakhia, the Chief Financial Officer of the Issuer, certify that to the best of my knowledge:</w:t>
      </w:r>
    </w:p>
    <w:p>
      <w:pPr>
        <w:spacing w:after="0" w:line="117" w:lineRule="exact"/>
        <w:rPr>
          <w:sz w:val="20"/>
          <w:szCs w:val="20"/>
          <w:color w:val="auto"/>
        </w:rPr>
      </w:pPr>
    </w:p>
    <w:p>
      <w:pPr>
        <w:ind w:left="1960" w:right="180" w:hanging="656"/>
        <w:spacing w:after="0" w:line="282" w:lineRule="auto"/>
        <w:tabs>
          <w:tab w:leader="none" w:pos="19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960" w:right="640" w:hanging="656"/>
        <w:spacing w:after="0" w:line="282" w:lineRule="auto"/>
        <w:tabs>
          <w:tab w:leader="none" w:pos="195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Issuer.</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2025</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BRAD LAKHIA</w:t>
            </w:r>
          </w:p>
        </w:tc>
      </w:tr>
      <w:tr>
        <w:trPr>
          <w:trHeight w:val="218"/>
        </w:trPr>
        <w:tc>
          <w:tcPr>
            <w:tcW w:w="68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 Lakhia</w:t>
            </w:r>
          </w:p>
        </w:tc>
      </w:tr>
      <w:tr>
        <w:trPr>
          <w:trHeight w:val="234"/>
        </w:trPr>
        <w:tc>
          <w:tcPr>
            <w:tcW w:w="6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lowerRoman"/>
      <w:start w:val="3"/>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2"/>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
      <w:numFmt w:val="bullet"/>
      <w:start w:val="1"/>
    </w:lvl>
    <w:lvl w:ilvl="1">
      <w:lvlJc w:val="left"/>
      <w:lvlText w:val="%2"/>
      <w:numFmt w:val="decimal"/>
      <w:start w:val="104"/>
    </w:lvl>
  </w:abstractNum>
  <w:abstractNum w:abstractNumId="12">
    <w:nsid w:val="1BEFD79F"/>
    <w:multiLevelType w:val="hybridMultilevel"/>
    <w:lvl w:ilvl="0">
      <w:lvlJc w:val="left"/>
      <w:lvlText w:val="**"/>
      <w:numFmt w:val="bullet"/>
      <w:start w:val="1"/>
    </w:lvl>
    <w:lvl w:ilvl="1">
      <w:lvlJc w:val="left"/>
      <w:lvlText w:val="%2"/>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Roman"/>
      <w:start w:val="1"/>
    </w:lvl>
  </w:abstractNum>
  <w:abstractNum w:abstractNumId="16">
    <w:nsid w:val="25E45D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6" Type="http://schemas.openxmlformats.org/officeDocument/2006/relationships/image" Target="media/image68.png"/><Relationship Id="rId75" Type="http://schemas.openxmlformats.org/officeDocument/2006/relationships/hyperlink" Target="https://www.sec.gov/Archives/edgar/data/944148/000094414825000012/cbiz7thamendment2025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2025-10-30T08:00:36Z</dcterms:created>
  <dcterms:modified xsi:type="dcterms:W3CDTF">2025-10-30T08:00:36Z</dcterms:modified>
</cp:coreProperties>
</file>