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6979d8k.htm"/>
      <w:bookmarkStart w:id="1" w:name="ksd86697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October 19,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CBIZ,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1-32961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22-2769024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283"/>
              <w:jc w:val="left"/>
              <w:rPr>
                <w:sz w:val="4"/>
                <w:szCs w:val="4"/>
              </w:rPr>
            </w:pPr>
            <w:r>
              <w:rPr>
                <w:sz w:val="4"/>
                <w:szCs w:val="4"/>
              </w:rPr>
            </w:r>
          </w:p>
        </w:tc>
      </w:tr>
      <w:tr>
        <w:trPr/>
        <w:tc>
          <w:tcPr>
            <w:tcW w:w="5900" w:type="dxa"/>
            <w:tcBorders/>
            <w:vAlign w:val="center"/>
          </w:tcPr>
          <w:p>
            <w:pPr>
              <w:pStyle w:val="TableContents"/>
              <w:bidi w:val="0"/>
              <w:spacing w:before="0" w:after="283"/>
              <w:jc w:val="center"/>
              <w:rPr>
                <w:b/>
              </w:rPr>
            </w:pPr>
            <w:r>
              <w:rPr>
                <w:b/>
              </w:rPr>
              <w:t>5959 Rockside Woods Blvd. N., Suite 600</w:t>
            </w:r>
          </w:p>
        </w:tc>
      </w:tr>
      <w:tr>
        <w:trPr/>
        <w:tc>
          <w:tcPr>
            <w:tcW w:w="5900" w:type="dxa"/>
            <w:tcBorders/>
            <w:vAlign w:val="center"/>
          </w:tcPr>
          <w:p>
            <w:pPr>
              <w:pStyle w:val="TableContents"/>
              <w:bidi w:val="0"/>
              <w:spacing w:before="0" w:after="283"/>
              <w:jc w:val="center"/>
              <w:rPr>
                <w:b/>
              </w:rPr>
            </w:pPr>
            <w:r>
              <w:rPr>
                <w:b/>
              </w:rPr>
              <w:t>Independence, Ohio 44131</w:t>
            </w:r>
          </w:p>
        </w:tc>
      </w:tr>
      <w:tr>
        <w:trPr/>
        <w:tc>
          <w:tcPr>
            <w:tcW w:w="5900" w:type="dxa"/>
            <w:tcBorders/>
            <w:vAlign w:val="center"/>
          </w:tcPr>
          <w:p>
            <w:pPr>
              <w:pStyle w:val="TableContents"/>
              <w:bidi w:val="0"/>
              <w:spacing w:before="0" w:after="283"/>
              <w:jc w:val="center"/>
              <w:rPr>
                <w:b/>
              </w:rPr>
            </w:pPr>
            <w:r>
              <w:rPr>
                <w:b/>
              </w:rPr>
              <w:t>(Address of principal executive offices, including zip code)</w:t>
            </w:r>
          </w:p>
        </w:tc>
      </w:tr>
    </w:tbl>
    <w:p>
      <w:pPr>
        <w:pStyle w:val="TextBody"/>
        <w:bidi w:val="0"/>
        <w:spacing w:before="240" w:after="0"/>
        <w:jc w:val="center"/>
        <w:rPr>
          <w:rFonts w:ascii="Times New Roman" w:hAnsi="Times New Roman"/>
          <w:b/>
          <w:sz w:val="20"/>
        </w:rPr>
      </w:pPr>
      <w:r>
        <w:rPr>
          <w:rFonts w:ascii="Times New Roman" w:hAnsi="Times New Roman"/>
          <w:b/>
          <w:sz w:val="20"/>
        </w:rPr>
        <w:t>216-447-9000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Note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3110"/>
        <w:gridCol w:w="60"/>
        <w:gridCol w:w="740"/>
        <w:gridCol w:w="60"/>
        <w:gridCol w:w="266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45" w:type="dxa"/>
        <w:jc w:val="left"/>
        <w:tblInd w:w="0" w:type="dxa"/>
        <w:tblLayout w:type="fixed"/>
        <w:tblCellMar>
          <w:top w:w="0" w:type="dxa"/>
          <w:left w:w="0" w:type="dxa"/>
          <w:bottom w:w="0" w:type="dxa"/>
          <w:right w:w="0" w:type="dxa"/>
        </w:tblCellMar>
      </w:tblPr>
      <w:tblGrid>
        <w:gridCol w:w="965"/>
        <w:gridCol w:w="3980"/>
      </w:tblGrid>
      <w:tr>
        <w:trPr/>
        <w:tc>
          <w:tcPr>
            <w:tcW w:w="96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CBIZ, Inc. (the “Company”) issued a press release announcing its financial results for the three and nine months ended September 30, 2026. A copy of the press release is furnished herewith as Exhibit 99.1. The exhibit contains, and may implicate, forward-looking statements regarding the Company and includes cautionary statements identified important factors that could cause actual results to differ materially from those anticipated.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66979dex991.htm">
              <w:r>
                <w:rPr>
                  <w:rStyle w:val="InternetLink"/>
                </w:rPr>
                <w:t>Press Release of CBIZ, Inc. dated October 19, 2026, announcing its financial results for the three and nine months ended September 30,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19, 2026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CBIZ,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 Lakhia</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Brad Lakhia</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866979dex991.htm"/>
      <w:bookmarkStart w:id="3" w:name="ksd86697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2"/>
        <w:gridCol w:w="120"/>
        <w:gridCol w:w="4833"/>
      </w:tblGrid>
      <w:tr>
        <w:trPr/>
        <w:tc>
          <w:tcPr>
            <w:tcW w:w="52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3" w:type="dxa"/>
            <w:tcBorders/>
            <w:vAlign w:val="center"/>
          </w:tcPr>
          <w:p>
            <w:pPr>
              <w:pStyle w:val="TableContents"/>
              <w:bidi w:val="0"/>
              <w:spacing w:before="0" w:after="283"/>
              <w:jc w:val="left"/>
              <w:rPr>
                <w:sz w:val="4"/>
                <w:szCs w:val="4"/>
              </w:rPr>
            </w:pPr>
            <w:r>
              <w:rPr>
                <w:sz w:val="4"/>
                <w:szCs w:val="4"/>
              </w:rPr>
            </w:r>
          </w:p>
        </w:tc>
      </w:tr>
      <w:tr>
        <w:trPr/>
        <w:tc>
          <w:tcPr>
            <w:tcW w:w="5252" w:type="dxa"/>
            <w:tcBorders/>
            <w:vAlign w:val="bottom"/>
          </w:tcPr>
          <w:p>
            <w:pPr>
              <w:pStyle w:val="TableContents"/>
              <w:bidi w:val="0"/>
              <w:spacing w:before="0" w:after="283"/>
              <w:jc w:val="left"/>
              <w:rPr/>
            </w:pPr>
            <w:r>
              <w:rPr/>
              <w:drawing>
                <wp:inline distT="0" distB="0" distL="0" distR="0">
                  <wp:extent cx="21050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609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33" w:type="dxa"/>
            <w:tcBorders/>
            <w:vAlign w:val="bottom"/>
          </w:tcPr>
          <w:p>
            <w:pPr>
              <w:pStyle w:val="TableContents"/>
              <w:bidi w:val="0"/>
              <w:spacing w:before="0" w:after="283"/>
              <w:jc w:val="left"/>
              <w:rPr/>
            </w:pPr>
            <w:r>
              <w:rPr/>
              <w:drawing>
                <wp:inline distT="0" distB="0" distL="0" distR="0">
                  <wp:extent cx="176212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62125" cy="657225"/>
                          </a:xfrm>
                          <a:prstGeom prst="rect">
                            <a:avLst/>
                          </a:prstGeom>
                        </pic:spPr>
                      </pic:pic>
                    </a:graphicData>
                  </a:graphic>
                </wp:inline>
              </w:drawing>
            </w:r>
            <w:r>
              <w:rPr/>
              <w:t xml:space="preserve"> </w:t>
            </w:r>
          </w:p>
        </w:tc>
      </w:tr>
      <w:tr>
        <w:trPr>
          <w:trHeight w:val="240" w:hRule="atLeast"/>
        </w:trPr>
        <w:tc>
          <w:tcPr>
            <w:tcW w:w="5252" w:type="dxa"/>
            <w:tcBorders/>
            <w:vAlign w:val="center"/>
          </w:tcPr>
          <w:p>
            <w:pPr>
              <w:pStyle w:val="TableContents"/>
              <w:bidi w:val="0"/>
              <w:spacing w:before="0" w:after="283"/>
              <w:jc w:val="left"/>
              <w:rPr>
                <w:sz w:val="4"/>
                <w:szCs w:val="4"/>
              </w:rPr>
            </w:pPr>
            <w:r>
              <w:rPr>
                <w:sz w:val="4"/>
                <w:szCs w:val="4"/>
              </w:rPr>
            </w:r>
          </w:p>
        </w:tc>
        <w:tc>
          <w:tcPr>
            <w:tcW w:w="4953" w:type="dxa"/>
            <w:gridSpan w:val="2"/>
            <w:tcBorders/>
            <w:vAlign w:val="center"/>
          </w:tcPr>
          <w:p>
            <w:pPr>
              <w:pStyle w:val="TableContents"/>
              <w:bidi w:val="0"/>
              <w:spacing w:before="0" w:after="283"/>
              <w:jc w:val="left"/>
              <w:rPr>
                <w:sz w:val="4"/>
                <w:szCs w:val="4"/>
              </w:rPr>
            </w:pPr>
            <w:r>
              <w:rPr>
                <w:sz w:val="4"/>
                <w:szCs w:val="4"/>
              </w:rPr>
            </w:r>
          </w:p>
        </w:tc>
      </w:tr>
      <w:tr>
        <w:trPr/>
        <w:tc>
          <w:tcPr>
            <w:tcW w:w="5252" w:type="dxa"/>
            <w:tcBorders/>
          </w:tcPr>
          <w:p>
            <w:pPr>
              <w:pStyle w:val="TableContents"/>
              <w:bidi w:val="0"/>
              <w:spacing w:before="0" w:after="0"/>
              <w:jc w:val="left"/>
              <w:rPr>
                <w:rFonts w:ascii="Times New Roman" w:hAnsi="Times New Roman"/>
                <w:b/>
                <w:sz w:val="20"/>
              </w:rPr>
            </w:pPr>
            <w:r>
              <w:rPr>
                <w:rFonts w:ascii="Times New Roman" w:hAnsi="Times New Roman"/>
                <w:b/>
                <w:sz w:val="20"/>
              </w:rPr>
              <w:t>FOR IMMEDIATE RELEASE</w:t>
            </w:r>
          </w:p>
        </w:tc>
        <w:tc>
          <w:tcPr>
            <w:tcW w:w="120" w:type="dxa"/>
            <w:tcBorders/>
            <w:vAlign w:val="bottom"/>
          </w:tcPr>
          <w:p>
            <w:pPr>
              <w:pStyle w:val="TableContents"/>
              <w:bidi w:val="0"/>
              <w:spacing w:before="0" w:after="283"/>
              <w:jc w:val="left"/>
              <w:rPr/>
            </w:pPr>
            <w:r>
              <w:rPr/>
              <w:t>  </w:t>
            </w:r>
          </w:p>
        </w:tc>
        <w:tc>
          <w:tcPr>
            <w:tcW w:w="483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CBIZ Reports Third-Quarter and Nine Months Ended September 30, 2026 Financial Results </w:t>
      </w:r>
    </w:p>
    <w:p>
      <w:pPr>
        <w:pStyle w:val="TextBody"/>
        <w:bidi w:val="0"/>
        <w:spacing w:before="240" w:after="0"/>
        <w:jc w:val="left"/>
        <w:rPr>
          <w:rFonts w:ascii="Times New Roman" w:hAnsi="Times New Roman"/>
          <w:b/>
          <w:sz w:val="20"/>
        </w:rPr>
      </w:pPr>
      <w:r>
        <w:rPr>
          <w:rFonts w:ascii="Times New Roman" w:hAnsi="Times New Roman"/>
          <w:b/>
          <w:sz w:val="20"/>
        </w:rPr>
        <w:t xml:space="preserve">Third-Quarter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of $702M, up 1.2%; Financial Services revenue up 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$47M, up 56.7%; GAAP EPS of $0.79, up 64.6%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$132M, up 6.3%; Adjusted diluted EPS of $1.21, up 14.2%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Nine Months Ended September 30, 2026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of $2,233M, up 0.8%; Financial Services revenue up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$219M, up 12.2%; GAAP EPS of $3.62, up 18.3%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$479M, down 1.2%; Adjusted diluted EPS of $4.64, up 5.9%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cash flow up $98M; Free cash flow up $91M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CLEVELAND (October 19, 2026) – CBIZ, Inc., (NYSE: CBZ) (“CBIZ” or the “Company”), a leading national professional services advisor, today announced results for the third quarter and nine months ended September 30, 2026.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Transaction with Grant Thornton and New Mountain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CBIZ and an affiliate of Grant Thornton in the U.S. (“Grant Thornton”), backed by New Mountain Capital, announced on July 29, 2026 that they entered into a definitive merger agreement pursuant to which Grant Thornton will acquire CBIZ in an all-cash transaction with an enterprise value of $5.0 billion, or $55.00 per share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proposed transaction is expected to close in the fourth quarter of 2026, subject to approval by CBIZ shareholders, receipt of required regulatory approvals, and satisfaction of other customary closing conditions. Following the completion of the proposed transaction, CBIZ’s common stock will no longer be listed on the New York Stock Exchange, and CBIZ will become a private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Full Year Financial Outlook and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proposed transaction and as previously disclosed, the Company will not be providing financial guidance for the full year 2026 or hosting a conference call to discuss third quarter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CBIZ </w:t>
      </w:r>
    </w:p>
    <w:p>
      <w:pPr>
        <w:pStyle w:val="TextBody"/>
        <w:bidi w:val="0"/>
        <w:spacing w:before="120" w:after="0"/>
        <w:jc w:val="left"/>
        <w:rPr>
          <w:rFonts w:ascii="Times New Roman" w:hAnsi="Times New Roman"/>
          <w:sz w:val="20"/>
        </w:rPr>
      </w:pPr>
      <w:r>
        <w:rPr>
          <w:rFonts w:ascii="Times New Roman" w:hAnsi="Times New Roman"/>
          <w:sz w:val="20"/>
        </w:rPr>
        <w:t xml:space="preserve">CBIZ, Inc. (NYSE: CBZ) is a leading professional services advisor to middle 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For more information, visit www.cbiz.com.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release, including, without limitation, statements about the proposed transaction, our financial position, business strategy,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provide oral or written forward-looking statements in other materials we release to the public. Any or all of our forward-looking statements in this release and in any other public statements that we make are subject to certain risks and uncertainties that could cause actual results to differ materially from those projected. Such risks and uncertainties include, but are not limited to: that one or more closing conditions to the proposed transaction, including certain regulatory approvals, may not be satisfied or waived, on a timely basis or otherwise, or that the required approval by the shareholders of CBIZ may not be obtained; the risk that the proposed transaction may not be completed on the terms or in the time frame expected by CBIZ and Grant Thornton, or at all; unexpected costs, charges or expenses resulting from the proposed transaction; uncertainty of the expected financial performance and results of operations of the combined company following completion of the proposed transaction; failure to realize the anticipated benefits of the proposed transaction, including as a result of delay in completing the proposed transaction or integrating the businesses of CBIZ and Grant Thornton, on the expected timeframe or at all; the ability of the combined company to implement its business strategy; difficulties and delays in the combined company achieving revenue and cost synergies; inability of the combined company to retain and hire key personnel; the occurrence of any event that could give rise to termination of the proposed transaction; the risk that shareholder litigation in connection with the proposed transaction or other litigation, settlements or investigations may affect the timing or completion of the proposed transaction or result in significant costs of defense, indemnification and liability; evolving legal, regulatory and tax regimes; changes in general economic, competitive, technological and/or industry-specific conditions affecting the businesses and industries in which CBIZ and Grant Thornton operate; actions by third parties, including government agencies and ratings agencies, relating to the proposed transaction; risks that any debt financing anticipated in connection with the proposed transaction is not obtained or that such financing cannot be obtained on the anticipated timing or terms or unexpected costs or expenses in connection therewith; risks related to the disruption of management time from ongoing business operations due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pendency of the proposed transaction, or other effects of the pendency of the proposed transaction on the relationship of any of the parties to the transaction with their employees, customers, partners, or other counterparties;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the risk that the market price of CBIZ’s common stock may decline if the proposed transaction is not completed;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P.C. acquired, from Marcum LLP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relationships and operating results and our ability to realize the anticipated benefits of our acquisition of the non-attest business assets and liabilities of Marcum and CBIZ CPAs P.C.’s purchase of substantially all of Marcum’s attest business assets (the “Marcum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amended and restated credit agreement providing for $2.0 billion in senior secured credit facilities, consisting of a $1.4 billion term loan and $600 million revolving credit facility, could adversely affect our ability to run our business and/or reduce stockholder returns; our failure to satisfy covenants in our debt instruments could cause a default under those instruments; our increased leverage following the Marcum Transaction may adversely impact our business; we may be more sensitive to revenue fluctuations than other companies, which could result in fluctuations in the market price of our common stock; the significant number of shares issuable as the stock consideration in the Marcum Transaction may adversely impact our stock price; the future issuance of additional shares could adversely affect the price of our common stock; and there is volatility in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Consequently, no forward-looking statement can be guaranteed. Our actual future results may vary materially. All forward looking statements made in this release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Also note that we provide a cautionary discussion of the risks, uncertainties and possibly inaccurate assumptions relevant to our businesses in “Item 1. Business” and “Item 1A. Risk Factors” in our Annual Report on Form 10-K for the year ended December 31, 2025, as amended. These are factors that we think could cause our actual results to differ materially from expected and historical results. Other factors besides those described here could also adversely affect our operating or financial performance.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our consolidated financial statements, which are prepared and presented in accordance with United States Generally Accepted Accounting Principles (“GAAP”), we also present Adjusted Net Income (Loss), Adjusted Diluted Earnings Per Share (“EPS”), Adjusted EBITDA, Adjusted EBITDA Margin and Free Cash Flow, which are non-GAAP measures. These non-GAAP measures are adjusted to exclude the impact of the Marcum Transaction, integration costs, amortization of acquired intangible assets, and other significant non-operating related gains and losses management does not consider ongoing in nature. The presentation of non-GAAP financial information is designed to supplement the Company’s financial information presented in accordance with GAAP, is not intended to be considered in isolation or as a substitute for, or superior to, the financial information prepared and presented in accordance with GAAP. We use these non-GAAP financial measures for financial and operational decision-making, and to evaluate results relative to employee compensation targets. We believe that these non-GAAP financial measures provide meaningful supplemental information to stockholders, debt holders, and other interested parties in assessing our performance. These non-GAAP financial measures also facilitate management’s internal comparisons to our historical performance by excluding significant acquisition expenses, certain one-time non-recurring items, and gains and losses that management does not consider ongoing in nature. We believe these non-GAAP financial measures are useful to investors both because (1) they allow for greater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transparency with respect to key measures used by management in its financial and operational decision-making and (2) they are used by our stockholders and analyst community to determine the health of our business. These non-GAAP measures may not be comparable to similar non-GAAP measures presented by other companies. The presentation of such non-GAAP measures, which may include exclusions of non-recurring items, should not be construed as an inference that the Company’s future results will be unaffected by other non-recurring items. Management provides specific information regarding the GAAP amounts excluded from or included in these non-GAAP financial measures. Additionally, management provides reconciliations of these non-GAAP financial measures to their most comparable financial measures presented in accordance with GAAP. Please see the schedules captioned “GAAP Reconciliation” at the end of this release for additional information and the applicable reconciliations.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Chris Sikora, VP, Investor Relations &amp; Corporate Finance, chris.sikora@cbiz.com </w:t>
      </w:r>
    </w:p>
    <w:p>
      <w:pPr>
        <w:pStyle w:val="TextBody"/>
        <w:bidi w:val="0"/>
        <w:spacing w:before="0" w:after="0"/>
        <w:jc w:val="left"/>
        <w:rPr>
          <w:rFonts w:ascii="Times New Roman" w:hAnsi="Times New Roman"/>
          <w:sz w:val="20"/>
        </w:rPr>
      </w:pPr>
      <w:r>
        <w:rPr>
          <w:rFonts w:ascii="Times New Roman" w:hAnsi="Times New Roman"/>
          <w:sz w:val="20"/>
        </w:rPr>
        <w:t xml:space="preserve">Media: Amy McGahan, Director of Corporate &amp; Strategic Communications, amy.mcgahan@cbiz.com </w:t>
      </w:r>
    </w:p>
    <w:p>
      <w:pPr>
        <w:pStyle w:val="TextBody"/>
        <w:bidi w:val="0"/>
        <w:spacing w:before="0" w:after="0"/>
        <w:jc w:val="left"/>
        <w:rPr>
          <w:rFonts w:ascii="Times New Roman" w:hAnsi="Times New Roman"/>
          <w:sz w:val="20"/>
        </w:rPr>
      </w:pPr>
      <w:r>
        <w:rPr>
          <w:rFonts w:ascii="Times New Roman" w:hAnsi="Times New Roman"/>
          <w:sz w:val="20"/>
        </w:rPr>
        <w:t xml:space="preserve">CBIZ, Inc., Cleveland, Ohio, (216) 447-9000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HIGHLIGHTS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THREE MONTHS ENDED SEPTEMBER 30, 2026 AND 2025 </w:t>
      </w:r>
    </w:p>
    <w:p>
      <w:pPr>
        <w:pStyle w:val="TextBody"/>
        <w:bidi w:val="0"/>
        <w:spacing w:before="0" w:after="0"/>
        <w:jc w:val="center"/>
        <w:rPr>
          <w:rFonts w:ascii="Times New Roman" w:hAnsi="Times New Roman"/>
          <w:sz w:val="20"/>
        </w:rPr>
      </w:pPr>
      <w:r>
        <w:rPr>
          <w:rFonts w:ascii="Times New Roman" w:hAnsi="Times New Roman"/>
          <w:b/>
          <w:i/>
          <w:sz w:val="20"/>
        </w:rPr>
        <w:t>(In thousands, except percentages and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83"/>
        <w:gridCol w:w="155"/>
        <w:gridCol w:w="140"/>
        <w:gridCol w:w="874"/>
        <w:gridCol w:w="155"/>
        <w:gridCol w:w="108"/>
        <w:gridCol w:w="60"/>
        <w:gridCol w:w="563"/>
        <w:gridCol w:w="277"/>
        <w:gridCol w:w="108"/>
        <w:gridCol w:w="140"/>
        <w:gridCol w:w="874"/>
        <w:gridCol w:w="155"/>
        <w:gridCol w:w="107"/>
        <w:gridCol w:w="60"/>
        <w:gridCol w:w="563"/>
        <w:gridCol w:w="283"/>
      </w:tblGrid>
      <w:tr>
        <w:trPr/>
        <w:tc>
          <w:tcPr>
            <w:tcW w:w="5583"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58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18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83" w:type="dxa"/>
            <w:tcBorders/>
            <w:vAlign w:val="bottom"/>
          </w:tcPr>
          <w:p>
            <w:pPr>
              <w:pStyle w:val="TableContents"/>
              <w:bidi w:val="0"/>
              <w:spacing w:before="0" w:after="283"/>
              <w:jc w:val="left"/>
              <w:rPr/>
            </w:pPr>
            <w:r>
              <w:rPr/>
              <w:t> </w:t>
            </w:r>
          </w:p>
        </w:tc>
      </w:tr>
      <w:tr>
        <w:trPr/>
        <w:tc>
          <w:tcPr>
            <w:tcW w:w="558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283" w:type="dxa"/>
            <w:tcBorders/>
            <w:vAlign w:val="bottom"/>
          </w:tcPr>
          <w:p>
            <w:pPr>
              <w:pStyle w:val="TableContents"/>
              <w:bidi w:val="0"/>
              <w:spacing w:before="0" w:after="283"/>
              <w:jc w:val="left"/>
              <w:rPr/>
            </w:pPr>
            <w:r>
              <w:rPr/>
              <w:t> </w:t>
            </w:r>
          </w:p>
        </w:tc>
      </w:tr>
      <w:tr>
        <w:trPr/>
        <w:tc>
          <w:tcPr>
            <w:tcW w:w="55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4" w:type="dxa"/>
            <w:tcBorders/>
            <w:shd w:fill="CCEEFF" w:val="clear"/>
            <w:vAlign w:val="bottom"/>
          </w:tcPr>
          <w:p>
            <w:pPr>
              <w:pStyle w:val="TableContents"/>
              <w:bidi w:val="0"/>
              <w:spacing w:before="0" w:after="283"/>
              <w:jc w:val="right"/>
              <w:rPr>
                <w:b/>
              </w:rPr>
            </w:pPr>
            <w:r>
              <w:rPr>
                <w:b/>
              </w:rPr>
              <w:t>702,240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100.0</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4" w:type="dxa"/>
            <w:tcBorders/>
            <w:shd w:fill="CCEEFF" w:val="clear"/>
            <w:vAlign w:val="bottom"/>
          </w:tcPr>
          <w:p>
            <w:pPr>
              <w:pStyle w:val="TableContents"/>
              <w:bidi w:val="0"/>
              <w:spacing w:before="0" w:after="283"/>
              <w:jc w:val="right"/>
              <w:rPr>
                <w:b/>
              </w:rPr>
            </w:pPr>
            <w:r>
              <w:rPr>
                <w:b/>
              </w:rPr>
              <w:t>693,818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588,186</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83.8</w:t>
            </w:r>
          </w:p>
        </w:tc>
        <w:tc>
          <w:tcPr>
            <w:tcW w:w="2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603,689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87.0</w:t>
            </w:r>
          </w:p>
        </w:tc>
        <w:tc>
          <w:tcPr>
            <w:tcW w:w="283" w:type="dxa"/>
            <w:tcBorders/>
            <w:vAlign w:val="bottom"/>
          </w:tcPr>
          <w:p>
            <w:pPr>
              <w:pStyle w:val="TableContents"/>
              <w:bidi w:val="0"/>
              <w:spacing w:before="0" w:after="283"/>
              <w:jc w:val="left"/>
              <w:rPr/>
            </w:pPr>
            <w:r>
              <w:rPr/>
              <w:t> </w:t>
            </w:r>
          </w:p>
        </w:tc>
      </w:tr>
      <w:tr>
        <w:trPr/>
        <w:tc>
          <w:tcPr>
            <w:tcW w:w="5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55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b/>
              </w:rPr>
            </w:pPr>
            <w:r>
              <w:rPr>
                <w:b/>
              </w:rPr>
              <w:t>114,054</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16.2</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b/>
              </w:rPr>
            </w:pPr>
            <w:r>
              <w:rPr>
                <w:b/>
              </w:rPr>
              <w:t>90,129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13.0</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expenses (1)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23,877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3.4</w:t>
            </w:r>
          </w:p>
        </w:tc>
        <w:tc>
          <w:tcPr>
            <w:tcW w:w="2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31,265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4.5</w:t>
            </w:r>
          </w:p>
        </w:tc>
        <w:tc>
          <w:tcPr>
            <w:tcW w:w="283" w:type="dxa"/>
            <w:tcBorders/>
            <w:vAlign w:val="bottom"/>
          </w:tcPr>
          <w:p>
            <w:pPr>
              <w:pStyle w:val="TableContents"/>
              <w:bidi w:val="0"/>
              <w:spacing w:before="0" w:after="283"/>
              <w:jc w:val="left"/>
              <w:rPr/>
            </w:pPr>
            <w:r>
              <w:rPr/>
              <w:t> </w:t>
            </w:r>
          </w:p>
        </w:tc>
      </w:tr>
      <w:tr>
        <w:trPr/>
        <w:tc>
          <w:tcPr>
            <w:tcW w:w="5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55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b/>
              </w:rPr>
            </w:pPr>
            <w:r>
              <w:rPr>
                <w:b/>
              </w:rPr>
              <w:t>90,177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12.8</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b/>
              </w:rPr>
            </w:pPr>
            <w:r>
              <w:rPr>
                <w:b/>
              </w:rPr>
              <w:t>58,864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8.5</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(23,986</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(27,960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(4.0</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Gain from acquisition related adjustments, net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1,124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0.2</w:t>
            </w:r>
          </w:p>
        </w:tc>
        <w:tc>
          <w:tcPr>
            <w:tcW w:w="283" w:type="dxa"/>
            <w:tcBorders/>
            <w:vAlign w:val="bottom"/>
          </w:tcPr>
          <w:p>
            <w:pPr>
              <w:pStyle w:val="TableContents"/>
              <w:bidi w:val="0"/>
              <w:spacing w:before="0" w:after="283"/>
              <w:jc w:val="left"/>
              <w:rPr/>
            </w:pPr>
            <w:r>
              <w:rPr/>
              <w:t> </w:t>
            </w:r>
          </w:p>
        </w:tc>
      </w:tr>
      <w:tr>
        <w:trPr/>
        <w:tc>
          <w:tcPr>
            <w:tcW w:w="5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 (1) (2)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1,449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0.2</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8,378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1.2</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(22,537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(3.2</w:t>
            </w:r>
          </w:p>
        </w:tc>
        <w:tc>
          <w:tcPr>
            <w:tcW w:w="2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(18,458</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(2.6</w:t>
            </w:r>
          </w:p>
        </w:tc>
        <w:tc>
          <w:tcPr>
            <w:tcW w:w="283" w:type="dxa"/>
            <w:tcBorders/>
            <w:vAlign w:val="bottom"/>
          </w:tcPr>
          <w:p>
            <w:pPr>
              <w:pStyle w:val="TableContents"/>
              <w:bidi w:val="0"/>
              <w:spacing w:before="0" w:after="283"/>
              <w:jc w:val="left"/>
              <w:rPr/>
            </w:pPr>
            <w:r>
              <w:rPr/>
              <w:t>) </w:t>
            </w:r>
          </w:p>
        </w:tc>
      </w:tr>
      <w:tr>
        <w:trPr/>
        <w:tc>
          <w:tcPr>
            <w:tcW w:w="5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55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 expense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b/>
              </w:rPr>
            </w:pPr>
            <w:r>
              <w:rPr>
                <w:b/>
              </w:rPr>
              <w:t>67,640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9.6</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b/>
              </w:rPr>
            </w:pPr>
            <w:r>
              <w:rPr>
                <w:b/>
              </w:rPr>
              <w:t>40,406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5.9</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20,404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10,260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5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4" w:type="dxa"/>
            <w:tcBorders/>
            <w:shd w:fill="CCEEFF" w:val="clear"/>
            <w:vAlign w:val="bottom"/>
          </w:tcPr>
          <w:p>
            <w:pPr>
              <w:pStyle w:val="TableContents"/>
              <w:bidi w:val="0"/>
              <w:spacing w:before="0" w:after="283"/>
              <w:jc w:val="right"/>
              <w:rPr>
                <w:b/>
              </w:rPr>
            </w:pPr>
            <w:r>
              <w:rPr>
                <w:b/>
              </w:rPr>
              <w:t>47,236</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6.7</w:t>
            </w:r>
          </w:p>
        </w:tc>
        <w:tc>
          <w:tcPr>
            <w:tcW w:w="277"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4" w:type="dxa"/>
            <w:tcBorders/>
            <w:shd w:fill="CCEEFF" w:val="clear"/>
            <w:vAlign w:val="bottom"/>
          </w:tcPr>
          <w:p>
            <w:pPr>
              <w:pStyle w:val="TableContents"/>
              <w:bidi w:val="0"/>
              <w:spacing w:before="0" w:after="283"/>
              <w:jc w:val="right"/>
              <w:rPr>
                <w:b/>
              </w:rPr>
            </w:pPr>
            <w:r>
              <w:rPr>
                <w:b/>
              </w:rPr>
              <w:t>30,146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4.3</w:t>
            </w:r>
          </w:p>
        </w:tc>
        <w:tc>
          <w:tcPr>
            <w:tcW w:w="283" w:type="dxa"/>
            <w:tcBorders/>
            <w:shd w:fill="CCEEFF" w:val="clear"/>
            <w:vAlign w:val="bottom"/>
          </w:tcPr>
          <w:p>
            <w:pPr>
              <w:pStyle w:val="TableContents"/>
              <w:bidi w:val="0"/>
              <w:spacing w:before="0" w:after="283"/>
              <w:jc w:val="left"/>
              <w:rPr/>
            </w:pPr>
            <w:r>
              <w:rPr/>
              <w:t>% </w:t>
            </w:r>
          </w:p>
        </w:tc>
      </w:tr>
      <w:tr>
        <w:trPr/>
        <w:tc>
          <w:tcPr>
            <w:tcW w:w="55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583"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income per share: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5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4" w:type="dxa"/>
            <w:tcBorders/>
            <w:shd w:fill="CCEEFF" w:val="clear"/>
            <w:vAlign w:val="bottom"/>
          </w:tcPr>
          <w:p>
            <w:pPr>
              <w:pStyle w:val="TableContents"/>
              <w:bidi w:val="0"/>
              <w:spacing w:before="0" w:after="283"/>
              <w:jc w:val="right"/>
              <w:rPr>
                <w:b/>
              </w:rPr>
            </w:pPr>
            <w:r>
              <w:rPr>
                <w:b/>
              </w:rPr>
              <w:t>0.79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4" w:type="dxa"/>
            <w:tcBorders/>
            <w:shd w:fill="CCEEFF" w:val="clear"/>
            <w:vAlign w:val="bottom"/>
          </w:tcPr>
          <w:p>
            <w:pPr>
              <w:pStyle w:val="TableContents"/>
              <w:bidi w:val="0"/>
              <w:spacing w:before="0" w:after="283"/>
              <w:jc w:val="right"/>
              <w:rPr>
                <w:b/>
              </w:rPr>
            </w:pPr>
            <w:r>
              <w:rPr>
                <w:b/>
              </w:rPr>
              <w:t>0.48</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shares outstanding</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59,986</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62,699</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5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558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131,852</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18.8</w:t>
            </w:r>
          </w:p>
        </w:tc>
        <w:tc>
          <w:tcPr>
            <w:tcW w:w="277"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124,005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17.9</w:t>
            </w:r>
          </w:p>
        </w:tc>
        <w:tc>
          <w:tcPr>
            <w:tcW w:w="283" w:type="dxa"/>
            <w:tcBorders/>
            <w:vAlign w:val="bottom"/>
          </w:tcPr>
          <w:p>
            <w:pPr>
              <w:pStyle w:val="TableContents"/>
              <w:bidi w:val="0"/>
              <w:spacing w:before="0" w:after="283"/>
              <w:jc w:val="left"/>
              <w:rPr/>
            </w:pPr>
            <w:r>
              <w:rPr/>
              <w:t>% </w:t>
            </w:r>
          </w:p>
        </w:tc>
      </w:tr>
      <w:tr>
        <w:trPr/>
        <w:tc>
          <w:tcPr>
            <w:tcW w:w="55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Diluted EPS (3)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1.21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sponsor a Non-qualified Deferred Compensation Plan (the “deferred compensation plan”), under which a CBIZ employee’s compensation deferral is held in a rabbi trust and invested accordingly as directed by the employee. 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and expenses related to the deferred compensation plan for the three months ended September 30, 2026, and 2025, are as follows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31"/>
        <w:gridCol w:w="245"/>
        <w:gridCol w:w="140"/>
        <w:gridCol w:w="462"/>
        <w:gridCol w:w="155"/>
        <w:gridCol w:w="224"/>
        <w:gridCol w:w="192"/>
        <w:gridCol w:w="1271"/>
        <w:gridCol w:w="350"/>
        <w:gridCol w:w="165"/>
        <w:gridCol w:w="140"/>
        <w:gridCol w:w="563"/>
        <w:gridCol w:w="60"/>
        <w:gridCol w:w="245"/>
        <w:gridCol w:w="230"/>
        <w:gridCol w:w="1233"/>
        <w:gridCol w:w="282"/>
      </w:tblGrid>
      <w:tr>
        <w:trPr/>
        <w:tc>
          <w:tcPr>
            <w:tcW w:w="343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543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82" w:type="dxa"/>
            <w:tcBorders/>
            <w:vAlign w:val="bottom"/>
          </w:tcPr>
          <w:p>
            <w:pPr>
              <w:pStyle w:val="TableContents"/>
              <w:bidi w:val="0"/>
              <w:spacing w:before="0" w:after="283"/>
              <w:jc w:val="left"/>
              <w:rPr/>
            </w:pPr>
            <w:r>
              <w:rPr/>
              <w:t> </w:t>
            </w:r>
          </w:p>
        </w:tc>
      </w:tr>
      <w:tr>
        <w:trPr/>
        <w:tc>
          <w:tcPr>
            <w:tcW w:w="34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Income statement line items:</w:t>
            </w:r>
          </w:p>
        </w:tc>
        <w:tc>
          <w:tcPr>
            <w:tcW w:w="245" w:type="dxa"/>
            <w:tcBorders/>
            <w:vAlign w:val="bottom"/>
          </w:tcPr>
          <w:p>
            <w:pPr>
              <w:pStyle w:val="TableContents"/>
              <w:bidi w:val="0"/>
              <w:spacing w:before="0" w:after="283"/>
              <w:jc w:val="left"/>
              <w:rPr/>
            </w:pPr>
            <w:r>
              <w:rPr/>
              <w:t>  </w:t>
            </w:r>
          </w:p>
        </w:tc>
        <w:tc>
          <w:tcPr>
            <w:tcW w:w="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35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82"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2" w:type="dxa"/>
            <w:tcBorders/>
            <w:shd w:fill="CCEEFF" w:val="clear"/>
            <w:vAlign w:val="bottom"/>
          </w:tcPr>
          <w:p>
            <w:pPr>
              <w:pStyle w:val="TableContents"/>
              <w:bidi w:val="0"/>
              <w:spacing w:before="0" w:after="283"/>
              <w:jc w:val="right"/>
              <w:rPr/>
            </w:pPr>
            <w:r>
              <w:rPr/>
              <w:t>(566</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(0.1</w:t>
            </w:r>
          </w:p>
        </w:tc>
        <w:tc>
          <w:tcPr>
            <w:tcW w:w="35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7,847</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1.1</w:t>
            </w:r>
          </w:p>
        </w:tc>
        <w:tc>
          <w:tcPr>
            <w:tcW w:w="282" w:type="dxa"/>
            <w:tcBorders/>
            <w:shd w:fill="CCEEFF" w:val="clear"/>
            <w:vAlign w:val="bottom"/>
          </w:tcPr>
          <w:p>
            <w:pPr>
              <w:pStyle w:val="TableContents"/>
              <w:bidi w:val="0"/>
              <w:spacing w:before="0" w:after="283"/>
              <w:jc w:val="left"/>
              <w:rPr/>
            </w:pPr>
            <w:r>
              <w:rPr/>
              <w:t>% </w:t>
            </w:r>
          </w:p>
        </w:tc>
      </w:tr>
      <w:tr>
        <w:trPr/>
        <w:tc>
          <w:tcPr>
            <w:tcW w:w="3431"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&amp; administrative expenses</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(191</w:t>
            </w:r>
          </w:p>
        </w:tc>
        <w:tc>
          <w:tcPr>
            <w:tcW w:w="15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1,076</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0.2</w:t>
            </w:r>
          </w:p>
        </w:tc>
        <w:tc>
          <w:tcPr>
            <w:tcW w:w="282" w:type="dxa"/>
            <w:tcBorders/>
            <w:vAlign w:val="bottom"/>
          </w:tcPr>
          <w:p>
            <w:pPr>
              <w:pStyle w:val="TableContents"/>
              <w:bidi w:val="0"/>
              <w:spacing w:before="0" w:after="283"/>
              <w:jc w:val="left"/>
              <w:rPr/>
            </w:pPr>
            <w:r>
              <w:rPr/>
              <w:t>% </w:t>
            </w:r>
          </w:p>
        </w:tc>
      </w:tr>
      <w:tr>
        <w:trPr/>
        <w:tc>
          <w:tcPr>
            <w:tcW w:w="34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(757</w:t>
            </w:r>
          </w:p>
        </w:tc>
        <w:tc>
          <w:tcPr>
            <w:tcW w:w="15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(0.1</w:t>
            </w:r>
          </w:p>
        </w:tc>
        <w:tc>
          <w:tcPr>
            <w:tcW w:w="35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8,923</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1.3</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Excluding the impact of the above-mentioned income and expenses related to the deferred compensation plan, the operating results for the three months ended September 30, 2026, and 2025, are as follows (in thousands, except percentages): </w:t>
      </w:r>
    </w:p>
    <w:p>
      <w:pPr>
        <w:pStyle w:val="TextBody"/>
        <w:bidi w:val="0"/>
        <w:spacing w:before="0" w:after="0"/>
        <w:jc w:val="left"/>
        <w:rPr/>
      </w:pPr>
      <w:r>
        <w:rPr/>
        <w:t> </w:t>
      </w:r>
    </w:p>
    <w:tbl>
      <w:tblPr>
        <w:tblW w:w="11430" w:type="dxa"/>
        <w:jc w:val="center"/>
        <w:tblInd w:w="0" w:type="dxa"/>
        <w:tblLayout w:type="fixed"/>
        <w:tblCellMar>
          <w:top w:w="0" w:type="dxa"/>
          <w:left w:w="0" w:type="dxa"/>
          <w:bottom w:w="0" w:type="dxa"/>
          <w:right w:w="0" w:type="dxa"/>
        </w:tblCellMar>
      </w:tblPr>
      <w:tblGrid>
        <w:gridCol w:w="830"/>
        <w:gridCol w:w="120"/>
        <w:gridCol w:w="140"/>
        <w:gridCol w:w="800"/>
        <w:gridCol w:w="60"/>
        <w:gridCol w:w="120"/>
        <w:gridCol w:w="350"/>
        <w:gridCol w:w="1140"/>
        <w:gridCol w:w="155"/>
        <w:gridCol w:w="60"/>
        <w:gridCol w:w="141"/>
        <w:gridCol w:w="809"/>
        <w:gridCol w:w="60"/>
        <w:gridCol w:w="120"/>
        <w:gridCol w:w="108"/>
        <w:gridCol w:w="797"/>
        <w:gridCol w:w="275"/>
        <w:gridCol w:w="60"/>
        <w:gridCol w:w="167"/>
        <w:gridCol w:w="813"/>
        <w:gridCol w:w="60"/>
        <w:gridCol w:w="120"/>
        <w:gridCol w:w="269"/>
        <w:gridCol w:w="1221"/>
        <w:gridCol w:w="155"/>
        <w:gridCol w:w="60"/>
        <w:gridCol w:w="162"/>
        <w:gridCol w:w="788"/>
        <w:gridCol w:w="155"/>
        <w:gridCol w:w="60"/>
        <w:gridCol w:w="108"/>
        <w:gridCol w:w="797"/>
        <w:gridCol w:w="350"/>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3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350"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0"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rPr>
            </w:pPr>
            <w:r>
              <w:rPr>
                <w:b/>
              </w:rPr>
              <w:t>Adjusted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rPr>
            </w:pPr>
            <w:r>
              <w:rPr>
                <w:b/>
              </w:rP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b/>
              </w:rPr>
            </w:pPr>
            <w:r>
              <w:rPr>
                <w:b/>
              </w:rPr>
              <w:t>% of</w:t>
              <w:br/>
              <w:t>Revenue</w:t>
            </w:r>
          </w:p>
        </w:tc>
        <w:tc>
          <w:tcPr>
            <w:tcW w:w="35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114,054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(566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113,488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16.2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90,129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7,847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97,976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14.1</w:t>
            </w:r>
          </w:p>
        </w:tc>
        <w:tc>
          <w:tcPr>
            <w:tcW w:w="350"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90,177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(757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89,420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58,864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8,923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67,787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9.8</w:t>
            </w:r>
          </w:p>
        </w:tc>
        <w:tc>
          <w:tcPr>
            <w:tcW w:w="350"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757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2,206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8,378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(8,923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(0.1</w:t>
            </w:r>
          </w:p>
        </w:tc>
        <w:tc>
          <w:tcPr>
            <w:tcW w:w="350"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67,640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67,640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40,406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40,406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5.8</w:t>
            </w:r>
          </w:p>
        </w:tc>
        <w:tc>
          <w:tcPr>
            <w:tcW w:w="35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“Other income, net” for the three months ended September 30, 2026, and 2025, is income of $1.1 million and expense of $0.5 million, respectively, related to net changes in the fair value of contingent consideration related to CBIZ’s prior acquisitions.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the schedules reconciling Adjusted Diluted EPS and Adjusted EBITDA to the most directly comparable GAAP financial measures at the end of this release, and for additional information as to the usefulness of the non-GAAP financial measures to stockholders and investors, see “Non-GAAP Financial Measures”.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HIGHLIGHTS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NINE MONTHS ENDED SEPTEMBER 30, 2026 AND 2025 </w:t>
      </w:r>
    </w:p>
    <w:p>
      <w:pPr>
        <w:pStyle w:val="TextBody"/>
        <w:bidi w:val="0"/>
        <w:spacing w:before="0" w:after="0"/>
        <w:jc w:val="center"/>
        <w:rPr>
          <w:rFonts w:ascii="Times New Roman" w:hAnsi="Times New Roman"/>
          <w:sz w:val="20"/>
        </w:rPr>
      </w:pPr>
      <w:r>
        <w:rPr>
          <w:rFonts w:ascii="Times New Roman" w:hAnsi="Times New Roman"/>
          <w:b/>
          <w:i/>
          <w:sz w:val="20"/>
        </w:rPr>
        <w:t>(In thousands, except percentages and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0"/>
        <w:gridCol w:w="155"/>
        <w:gridCol w:w="140"/>
        <w:gridCol w:w="1037"/>
        <w:gridCol w:w="155"/>
        <w:gridCol w:w="105"/>
        <w:gridCol w:w="60"/>
        <w:gridCol w:w="576"/>
        <w:gridCol w:w="321"/>
        <w:gridCol w:w="105"/>
        <w:gridCol w:w="140"/>
        <w:gridCol w:w="1037"/>
        <w:gridCol w:w="155"/>
        <w:gridCol w:w="105"/>
        <w:gridCol w:w="60"/>
        <w:gridCol w:w="575"/>
        <w:gridCol w:w="329"/>
      </w:tblGrid>
      <w:tr>
        <w:trPr/>
        <w:tc>
          <w:tcPr>
            <w:tcW w:w="515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57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9" w:type="dxa"/>
            <w:tcBorders/>
            <w:vAlign w:val="bottom"/>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37" w:type="dxa"/>
            <w:tcBorders/>
            <w:shd w:fill="CCEEFF" w:val="clear"/>
            <w:vAlign w:val="bottom"/>
          </w:tcPr>
          <w:p>
            <w:pPr>
              <w:pStyle w:val="TableContents"/>
              <w:bidi w:val="0"/>
              <w:spacing w:before="0" w:after="283"/>
              <w:jc w:val="right"/>
              <w:rPr>
                <w:b/>
              </w:rPr>
            </w:pPr>
            <w:r>
              <w:rPr>
                <w:b/>
              </w:rPr>
              <w:t>2,233,025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100.0</w:t>
            </w:r>
          </w:p>
        </w:tc>
        <w:tc>
          <w:tcPr>
            <w:tcW w:w="321"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37" w:type="dxa"/>
            <w:tcBorders/>
            <w:shd w:fill="CCEEFF" w:val="clear"/>
            <w:vAlign w:val="bottom"/>
          </w:tcPr>
          <w:p>
            <w:pPr>
              <w:pStyle w:val="TableContents"/>
              <w:bidi w:val="0"/>
              <w:spacing w:before="0" w:after="283"/>
              <w:jc w:val="right"/>
              <w:rPr>
                <w:b/>
              </w:rPr>
            </w:pPr>
            <w:r>
              <w:rPr>
                <w:b/>
              </w:rPr>
              <w:t>2,215,328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100.0</w:t>
            </w:r>
          </w:p>
        </w:tc>
        <w:tc>
          <w:tcPr>
            <w:tcW w:w="329" w:type="dxa"/>
            <w:tcBorders/>
            <w:shd w:fill="CCEEFF" w:val="clear"/>
            <w:vAlign w:val="bottom"/>
          </w:tcPr>
          <w:p>
            <w:pPr>
              <w:pStyle w:val="TableContents"/>
              <w:bidi w:val="0"/>
              <w:spacing w:before="0" w:after="283"/>
              <w:jc w:val="left"/>
              <w:rPr>
                <w:b/>
              </w:rPr>
            </w:pPr>
            <w:r>
              <w:rPr>
                <w:b/>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1,820,516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81.5</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1,809,188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81.7</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412,509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18.5</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406,140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18.3</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expenses (1)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103,754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4.6</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86,972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3.9</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308,755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13.9</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319,168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14.4</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(72,237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(3.2</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(80,983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(3.7</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Gain from acquisition related adjustment, net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57,955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2.6</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1,124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0.1</w:t>
            </w:r>
          </w:p>
        </w:tc>
        <w:tc>
          <w:tcPr>
            <w:tcW w:w="329"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 (1) (2)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11,382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0.5</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31,786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1.4</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(2,900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(0.1</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(48,073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(2.2</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 expense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305,855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13.7</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271,095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12.2</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87,228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76,234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218,627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9.8</w:t>
            </w:r>
          </w:p>
        </w:tc>
        <w:tc>
          <w:tcPr>
            <w:tcW w:w="321"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194,861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8.8</w:t>
            </w:r>
          </w:p>
        </w:tc>
        <w:tc>
          <w:tcPr>
            <w:tcW w:w="329" w:type="dxa"/>
            <w:tcBorders/>
            <w:shd w:fill="CCEEFF" w:val="clear"/>
            <w:vAlign w:val="bottom"/>
          </w:tcPr>
          <w:p>
            <w:pPr>
              <w:pStyle w:val="TableContents"/>
              <w:bidi w:val="0"/>
              <w:spacing w:before="0" w:after="283"/>
              <w:jc w:val="left"/>
              <w:rPr>
                <w:b/>
              </w:rPr>
            </w:pPr>
            <w:r>
              <w:rPr>
                <w:b/>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7" w:type="dxa"/>
            <w:tcBorders/>
            <w:vAlign w:val="bottom"/>
          </w:tcPr>
          <w:p>
            <w:pPr>
              <w:pStyle w:val="TableContents"/>
              <w:bidi w:val="0"/>
              <w:spacing w:before="0" w:after="283"/>
              <w:jc w:val="right"/>
              <w:rPr>
                <w:b/>
              </w:rPr>
            </w:pPr>
            <w:r>
              <w:rPr>
                <w:b/>
              </w:rPr>
              <w:t>3.62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37" w:type="dxa"/>
            <w:tcBorders/>
            <w:vAlign w:val="bottom"/>
          </w:tcPr>
          <w:p>
            <w:pPr>
              <w:pStyle w:val="TableContents"/>
              <w:bidi w:val="0"/>
              <w:spacing w:before="0" w:after="283"/>
              <w:jc w:val="right"/>
              <w:rPr>
                <w:b/>
              </w:rPr>
            </w:pPr>
            <w:r>
              <w:rPr>
                <w:b/>
              </w:rPr>
              <w:t>3.06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shares outstanding</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60,333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63,609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479,345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21.5</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485,127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21.9</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EPS (3)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sponsor a Non-qualified Deferred Compensation Plan (the “deferred compensation plan”), under which a CBIZ employee’s compensation deferral is held in a rabbi trust and invested accordingly as directed by the employee. 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and expenses related to the deferred compensation plan for the nine months ended September 30, 2026, and 2025, are as follows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48"/>
        <w:gridCol w:w="234"/>
        <w:gridCol w:w="140"/>
        <w:gridCol w:w="680"/>
        <w:gridCol w:w="60"/>
        <w:gridCol w:w="234"/>
        <w:gridCol w:w="230"/>
        <w:gridCol w:w="1254"/>
        <w:gridCol w:w="275"/>
        <w:gridCol w:w="156"/>
        <w:gridCol w:w="140"/>
        <w:gridCol w:w="679"/>
        <w:gridCol w:w="60"/>
        <w:gridCol w:w="234"/>
        <w:gridCol w:w="230"/>
        <w:gridCol w:w="1254"/>
        <w:gridCol w:w="280"/>
      </w:tblGrid>
      <w:tr>
        <w:trPr/>
        <w:tc>
          <w:tcPr>
            <w:tcW w:w="324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62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0" w:type="dxa"/>
            <w:tcBorders/>
            <w:vAlign w:val="bottom"/>
          </w:tcPr>
          <w:p>
            <w:pPr>
              <w:pStyle w:val="TableContents"/>
              <w:bidi w:val="0"/>
              <w:spacing w:before="0" w:after="283"/>
              <w:jc w:val="left"/>
              <w:rPr/>
            </w:pPr>
            <w:r>
              <w:rPr/>
              <w:t> </w:t>
            </w:r>
          </w:p>
        </w:tc>
      </w:tr>
      <w:tr>
        <w:trPr/>
        <w:tc>
          <w:tcPr>
            <w:tcW w:w="32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Income statement line items:</w:t>
            </w:r>
          </w:p>
        </w:tc>
        <w:tc>
          <w:tcPr>
            <w:tcW w:w="23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80" w:type="dxa"/>
            <w:tcBorders/>
            <w:vAlign w:val="bottom"/>
          </w:tcPr>
          <w:p>
            <w:pPr>
              <w:pStyle w:val="TableContents"/>
              <w:bidi w:val="0"/>
              <w:spacing w:before="0" w:after="283"/>
              <w:jc w:val="left"/>
              <w:rPr/>
            </w:pPr>
            <w:r>
              <w:rPr/>
              <w:t> </w:t>
            </w:r>
          </w:p>
        </w:tc>
      </w:tr>
      <w:tr>
        <w:trPr/>
        <w:tc>
          <w:tcPr>
            <w:tcW w:w="3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13,478</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17,132</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0.8</w:t>
            </w:r>
          </w:p>
        </w:tc>
        <w:tc>
          <w:tcPr>
            <w:tcW w:w="280" w:type="dxa"/>
            <w:tcBorders/>
            <w:shd w:fill="CCEEFF" w:val="clear"/>
            <w:vAlign w:val="bottom"/>
          </w:tcPr>
          <w:p>
            <w:pPr>
              <w:pStyle w:val="TableContents"/>
              <w:bidi w:val="0"/>
              <w:spacing w:before="0" w:after="283"/>
              <w:jc w:val="left"/>
              <w:rPr/>
            </w:pPr>
            <w:r>
              <w:rPr/>
              <w:t>% </w:t>
            </w:r>
          </w:p>
        </w:tc>
      </w:tr>
      <w:tr>
        <w:trPr/>
        <w:tc>
          <w:tcPr>
            <w:tcW w:w="3248"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income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1,788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2,415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0.1</w:t>
            </w:r>
          </w:p>
        </w:tc>
        <w:tc>
          <w:tcPr>
            <w:tcW w:w="280" w:type="dxa"/>
            <w:tcBorders/>
            <w:vAlign w:val="bottom"/>
          </w:tcPr>
          <w:p>
            <w:pPr>
              <w:pStyle w:val="TableContents"/>
              <w:bidi w:val="0"/>
              <w:spacing w:before="0" w:after="283"/>
              <w:jc w:val="left"/>
              <w:rPr/>
            </w:pPr>
            <w:r>
              <w:rPr/>
              <w:t>% </w:t>
            </w:r>
          </w:p>
        </w:tc>
      </w:tr>
      <w:tr>
        <w:trPr/>
        <w:tc>
          <w:tcPr>
            <w:tcW w:w="3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15,266</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19,547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0.9</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Excluding the impact of the above-mentioned income and expenses related to the deferred compensation plan, the operating results for the nine months ended September 30, 2026, and 2025, are as follows (in thousands, except percentages): </w:t>
      </w:r>
    </w:p>
    <w:p>
      <w:pPr>
        <w:pStyle w:val="TextBody"/>
        <w:bidi w:val="0"/>
        <w:spacing w:before="0" w:after="0"/>
        <w:jc w:val="left"/>
        <w:rPr/>
      </w:pPr>
      <w:r>
        <w:rPr/>
        <w:t> </w:t>
      </w:r>
    </w:p>
    <w:tbl>
      <w:tblPr>
        <w:tblW w:w="11430" w:type="dxa"/>
        <w:jc w:val="center"/>
        <w:tblInd w:w="0" w:type="dxa"/>
        <w:tblLayout w:type="fixed"/>
        <w:tblCellMar>
          <w:top w:w="0" w:type="dxa"/>
          <w:left w:w="0" w:type="dxa"/>
          <w:bottom w:w="0" w:type="dxa"/>
          <w:right w:w="0" w:type="dxa"/>
        </w:tblCellMar>
      </w:tblPr>
      <w:tblGrid>
        <w:gridCol w:w="830"/>
        <w:gridCol w:w="120"/>
        <w:gridCol w:w="140"/>
        <w:gridCol w:w="800"/>
        <w:gridCol w:w="60"/>
        <w:gridCol w:w="120"/>
        <w:gridCol w:w="233"/>
        <w:gridCol w:w="1257"/>
        <w:gridCol w:w="155"/>
        <w:gridCol w:w="60"/>
        <w:gridCol w:w="141"/>
        <w:gridCol w:w="809"/>
        <w:gridCol w:w="155"/>
        <w:gridCol w:w="60"/>
        <w:gridCol w:w="108"/>
        <w:gridCol w:w="797"/>
        <w:gridCol w:w="350"/>
        <w:gridCol w:w="60"/>
        <w:gridCol w:w="145"/>
        <w:gridCol w:w="835"/>
        <w:gridCol w:w="60"/>
        <w:gridCol w:w="120"/>
        <w:gridCol w:w="233"/>
        <w:gridCol w:w="1257"/>
        <w:gridCol w:w="155"/>
        <w:gridCol w:w="60"/>
        <w:gridCol w:w="141"/>
        <w:gridCol w:w="809"/>
        <w:gridCol w:w="60"/>
        <w:gridCol w:w="120"/>
        <w:gridCol w:w="108"/>
        <w:gridCol w:w="797"/>
        <w:gridCol w:w="275"/>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0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rPr>
            </w:pPr>
            <w:r>
              <w:rPr>
                <w:b/>
              </w:rP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b/>
              </w:rPr>
            </w:pPr>
            <w:r>
              <w:rPr>
                <w:b/>
              </w:rPr>
              <w:t>% of</w:t>
              <w:br/>
              <w:t>Revenue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rPr>
            </w:pPr>
            <w:r>
              <w:rPr>
                <w:b/>
              </w:rPr>
              <w:t>Adjusted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412,509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13,478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425,987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19.1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406,140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17,132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423,272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308,755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15,266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324,021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14.5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319,168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19,547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338,715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15.3</w:t>
            </w:r>
          </w:p>
        </w:tc>
        <w:tc>
          <w:tcPr>
            <w:tcW w:w="27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11,382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(15,266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(3,884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31,786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(19,547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12,239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305,855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305,855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13.7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271,095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271,095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12.2</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“Other income, net” for the nine months ended September 30, 2026, and 2025, is income of $2.6 million and expense of $2.0 million, respectively, related to net changes in the fair value of contingent consideration related to CBIZ’s prior acquisitions.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the schedules reconciling Adjusted Diluted EPS and Adjusted EBITDA to the most directly comparable GAAP financial measures at the end of this release and for additional information as to the usefulness of the non-GAAP financial measures to stockholders and investors see “Non-GAAP Financial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HIGHLIGHTS (UNAUDITED)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SELECT SEGMENT DATA </w:t>
      </w:r>
    </w:p>
    <w:p>
      <w:pPr>
        <w:pStyle w:val="TextBody"/>
        <w:bidi w:val="0"/>
        <w:spacing w:before="0" w:after="0"/>
        <w:jc w:val="center"/>
        <w:rPr>
          <w:rFonts w:ascii="Times New Roman" w:hAnsi="Times New Roman"/>
          <w:sz w:val="20"/>
        </w:rPr>
      </w:pPr>
      <w:r>
        <w:rPr>
          <w:rFonts w:ascii="Times New Roman" w:hAnsi="Times New Roman"/>
          <w:b/>
          <w:i/>
          <w:sz w:val="20"/>
        </w:rPr>
        <w:t>(In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45"/>
        <w:gridCol w:w="193"/>
        <w:gridCol w:w="140"/>
        <w:gridCol w:w="824"/>
        <w:gridCol w:w="320"/>
        <w:gridCol w:w="141"/>
        <w:gridCol w:w="140"/>
        <w:gridCol w:w="824"/>
        <w:gridCol w:w="320"/>
        <w:gridCol w:w="141"/>
        <w:gridCol w:w="140"/>
        <w:gridCol w:w="1023"/>
        <w:gridCol w:w="320"/>
        <w:gridCol w:w="141"/>
        <w:gridCol w:w="140"/>
        <w:gridCol w:w="1024"/>
        <w:gridCol w:w="329"/>
      </w:tblGrid>
      <w:tr>
        <w:trPr/>
        <w:tc>
          <w:tcPr>
            <w:tcW w:w="404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04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3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329" w:type="dxa"/>
            <w:tcBorders/>
            <w:vAlign w:val="bottom"/>
          </w:tcPr>
          <w:p>
            <w:pPr>
              <w:pStyle w:val="TableContents"/>
              <w:bidi w:val="0"/>
              <w:spacing w:before="0" w:after="283"/>
              <w:jc w:val="left"/>
              <w:rPr/>
            </w:pPr>
            <w:r>
              <w:rPr/>
              <w:t> </w:t>
            </w:r>
          </w:p>
        </w:tc>
      </w:tr>
      <w:tr>
        <w:trPr/>
        <w:tc>
          <w:tcPr>
            <w:tcW w:w="404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9" w:type="dxa"/>
            <w:tcBorders/>
            <w:vAlign w:val="bottom"/>
          </w:tcPr>
          <w:p>
            <w:pPr>
              <w:pStyle w:val="TableContents"/>
              <w:bidi w:val="0"/>
              <w:spacing w:before="0" w:after="283"/>
              <w:jc w:val="left"/>
              <w:rPr/>
            </w:pPr>
            <w:r>
              <w:rPr/>
              <w:t> </w:t>
            </w:r>
          </w:p>
        </w:tc>
      </w:tr>
      <w:tr>
        <w:trPr/>
        <w:tc>
          <w:tcPr>
            <w:tcW w:w="4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4045" w:type="dxa"/>
            <w:tcBorders/>
          </w:tcPr>
          <w:p>
            <w:pPr>
              <w:pStyle w:val="TableContents"/>
              <w:bidi w:val="0"/>
              <w:spacing w:before="0" w:after="0"/>
              <w:jc w:val="left"/>
              <w:rPr>
                <w:rFonts w:ascii="Times New Roman" w:hAnsi="Times New Roman"/>
                <w:sz w:val="20"/>
              </w:rPr>
            </w:pPr>
            <w:r>
              <w:rPr>
                <w:rFonts w:ascii="Times New Roman" w:hAnsi="Times New Roman"/>
                <w:sz w:val="20"/>
              </w:rPr>
              <w:t>Financial Services(1)</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597,791</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590,431</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1,918,445</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1,897,036</w:t>
            </w:r>
          </w:p>
        </w:tc>
        <w:tc>
          <w:tcPr>
            <w:tcW w:w="329" w:type="dxa"/>
            <w:tcBorders/>
            <w:vAlign w:val="bottom"/>
          </w:tcPr>
          <w:p>
            <w:pPr>
              <w:pStyle w:val="TableContents"/>
              <w:bidi w:val="0"/>
              <w:spacing w:before="0" w:after="283"/>
              <w:jc w:val="left"/>
              <w:rPr/>
            </w:pPr>
            <w:r>
              <w:rPr/>
              <w:t> </w:t>
            </w:r>
          </w:p>
        </w:tc>
      </w:tr>
      <w:tr>
        <w:trPr/>
        <w:tc>
          <w:tcPr>
            <w:tcW w:w="4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Benefits and Insurance Services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104,449</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103,387</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314,580</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318,292</w:t>
            </w:r>
          </w:p>
        </w:tc>
        <w:tc>
          <w:tcPr>
            <w:tcW w:w="329" w:type="dxa"/>
            <w:tcBorders/>
            <w:shd w:fill="CCEEFF" w:val="clear"/>
            <w:vAlign w:val="bottom"/>
          </w:tcPr>
          <w:p>
            <w:pPr>
              <w:pStyle w:val="TableContents"/>
              <w:bidi w:val="0"/>
              <w:spacing w:before="0" w:after="283"/>
              <w:jc w:val="left"/>
              <w:rPr/>
            </w:pPr>
            <w:r>
              <w:rPr/>
              <w:t> </w:t>
            </w:r>
          </w:p>
        </w:tc>
      </w:tr>
      <w:tr>
        <w:trPr/>
        <w:tc>
          <w:tcPr>
            <w:tcW w:w="404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40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4" w:type="dxa"/>
            <w:tcBorders/>
            <w:vAlign w:val="bottom"/>
          </w:tcPr>
          <w:p>
            <w:pPr>
              <w:pStyle w:val="TableContents"/>
              <w:bidi w:val="0"/>
              <w:spacing w:before="0" w:after="283"/>
              <w:jc w:val="right"/>
              <w:rPr>
                <w:b/>
              </w:rPr>
            </w:pPr>
            <w:r>
              <w:rPr>
                <w:b/>
              </w:rPr>
              <w:t>702,240</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24" w:type="dxa"/>
            <w:tcBorders/>
            <w:vAlign w:val="bottom"/>
          </w:tcPr>
          <w:p>
            <w:pPr>
              <w:pStyle w:val="TableContents"/>
              <w:bidi w:val="0"/>
              <w:spacing w:before="0" w:after="283"/>
              <w:jc w:val="right"/>
              <w:rPr>
                <w:b/>
              </w:rPr>
            </w:pPr>
            <w:r>
              <w:rPr>
                <w:b/>
              </w:rPr>
              <w:t>693,818</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23" w:type="dxa"/>
            <w:tcBorders/>
            <w:vAlign w:val="bottom"/>
          </w:tcPr>
          <w:p>
            <w:pPr>
              <w:pStyle w:val="TableContents"/>
              <w:bidi w:val="0"/>
              <w:spacing w:before="0" w:after="283"/>
              <w:jc w:val="right"/>
              <w:rPr>
                <w:b/>
              </w:rPr>
            </w:pPr>
            <w:r>
              <w:rPr>
                <w:b/>
              </w:rPr>
              <w:t>2,233,025</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24" w:type="dxa"/>
            <w:tcBorders/>
            <w:vAlign w:val="bottom"/>
          </w:tcPr>
          <w:p>
            <w:pPr>
              <w:pStyle w:val="TableContents"/>
              <w:bidi w:val="0"/>
              <w:spacing w:before="0" w:after="283"/>
              <w:jc w:val="right"/>
              <w:rPr>
                <w:b/>
              </w:rPr>
            </w:pPr>
            <w:r>
              <w:rPr>
                <w:b/>
              </w:rPr>
              <w:t>2,215,328</w:t>
            </w:r>
          </w:p>
        </w:tc>
        <w:tc>
          <w:tcPr>
            <w:tcW w:w="329" w:type="dxa"/>
            <w:tcBorders/>
            <w:vAlign w:val="bottom"/>
          </w:tcPr>
          <w:p>
            <w:pPr>
              <w:pStyle w:val="TableContents"/>
              <w:bidi w:val="0"/>
              <w:spacing w:before="0" w:after="283"/>
              <w:jc w:val="left"/>
              <w:rPr/>
            </w:pPr>
            <w:r>
              <w:rPr/>
              <w:t> </w:t>
            </w:r>
          </w:p>
        </w:tc>
      </w:tr>
      <w:tr>
        <w:trPr/>
        <w:tc>
          <w:tcPr>
            <w:tcW w:w="404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40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4"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4"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4045" w:type="dxa"/>
            <w:tcBorders/>
          </w:tcPr>
          <w:p>
            <w:pPr>
              <w:pStyle w:val="TableContents"/>
              <w:bidi w:val="0"/>
              <w:spacing w:before="0" w:after="0"/>
              <w:jc w:val="left"/>
              <w:rPr>
                <w:rFonts w:ascii="Times New Roman" w:hAnsi="Times New Roman"/>
                <w:sz w:val="20"/>
              </w:rPr>
            </w:pPr>
            <w:r>
              <w:rPr>
                <w:rFonts w:ascii="Times New Roman" w:hAnsi="Times New Roman"/>
                <w:sz w:val="20"/>
              </w:rPr>
              <w:t>Financial Services(1)</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109,931</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95,905</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3" w:type="dxa"/>
            <w:tcBorders/>
            <w:vAlign w:val="bottom"/>
          </w:tcPr>
          <w:p>
            <w:pPr>
              <w:pStyle w:val="TableContents"/>
              <w:bidi w:val="0"/>
              <w:spacing w:before="0" w:after="283"/>
              <w:jc w:val="right"/>
              <w:rPr/>
            </w:pPr>
            <w:r>
              <w:rPr/>
              <w:t>400,003</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4" w:type="dxa"/>
            <w:tcBorders/>
            <w:vAlign w:val="bottom"/>
          </w:tcPr>
          <w:p>
            <w:pPr>
              <w:pStyle w:val="TableContents"/>
              <w:bidi w:val="0"/>
              <w:spacing w:before="0" w:after="283"/>
              <w:jc w:val="right"/>
              <w:rPr/>
            </w:pPr>
            <w:r>
              <w:rPr/>
              <w:t>386,813</w:t>
            </w:r>
          </w:p>
        </w:tc>
        <w:tc>
          <w:tcPr>
            <w:tcW w:w="329" w:type="dxa"/>
            <w:tcBorders/>
            <w:vAlign w:val="bottom"/>
          </w:tcPr>
          <w:p>
            <w:pPr>
              <w:pStyle w:val="TableContents"/>
              <w:bidi w:val="0"/>
              <w:spacing w:before="0" w:after="283"/>
              <w:jc w:val="left"/>
              <w:rPr/>
            </w:pPr>
            <w:r>
              <w:rPr/>
              <w:t> </w:t>
            </w:r>
          </w:p>
        </w:tc>
      </w:tr>
      <w:tr>
        <w:trPr/>
        <w:tc>
          <w:tcPr>
            <w:tcW w:w="4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Benefits and Insurance Services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18,299</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19,305</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56,901</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64,845</w:t>
            </w:r>
          </w:p>
        </w:tc>
        <w:tc>
          <w:tcPr>
            <w:tcW w:w="329" w:type="dxa"/>
            <w:tcBorders/>
            <w:shd w:fill="CCEEFF" w:val="clear"/>
            <w:vAlign w:val="bottom"/>
          </w:tcPr>
          <w:p>
            <w:pPr>
              <w:pStyle w:val="TableContents"/>
              <w:bidi w:val="0"/>
              <w:spacing w:before="0" w:after="283"/>
              <w:jc w:val="left"/>
              <w:rPr/>
            </w:pPr>
            <w:r>
              <w:rPr/>
              <w:t> </w:t>
            </w:r>
          </w:p>
        </w:tc>
      </w:tr>
      <w:tr>
        <w:trPr/>
        <w:tc>
          <w:tcPr>
            <w:tcW w:w="404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4045"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 unallocated (2):</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4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(14,742</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(17,234</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3" w:type="dxa"/>
            <w:tcBorders/>
            <w:shd w:fill="CCEEFF" w:val="clear"/>
            <w:vAlign w:val="bottom"/>
          </w:tcPr>
          <w:p>
            <w:pPr>
              <w:pStyle w:val="TableContents"/>
              <w:bidi w:val="0"/>
              <w:spacing w:before="0" w:after="283"/>
              <w:jc w:val="right"/>
              <w:rPr/>
            </w:pPr>
            <w:r>
              <w:rPr/>
              <w:t>(30,917</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4" w:type="dxa"/>
            <w:tcBorders/>
            <w:shd w:fill="CCEEFF" w:val="clear"/>
            <w:vAlign w:val="bottom"/>
          </w:tcPr>
          <w:p>
            <w:pPr>
              <w:pStyle w:val="TableContents"/>
              <w:bidi w:val="0"/>
              <w:spacing w:before="0" w:after="283"/>
              <w:jc w:val="right"/>
              <w:rPr/>
            </w:pPr>
            <w:r>
              <w:rPr/>
              <w:t>(28,386</w:t>
            </w:r>
          </w:p>
        </w:tc>
        <w:tc>
          <w:tcPr>
            <w:tcW w:w="329" w:type="dxa"/>
            <w:tcBorders/>
            <w:shd w:fill="CCEEFF" w:val="clear"/>
            <w:vAlign w:val="bottom"/>
          </w:tcPr>
          <w:p>
            <w:pPr>
              <w:pStyle w:val="TableContents"/>
              <w:bidi w:val="0"/>
              <w:spacing w:before="0" w:after="283"/>
              <w:jc w:val="left"/>
              <w:rPr/>
            </w:pPr>
            <w:r>
              <w:rPr/>
              <w:t>) </w:t>
            </w:r>
          </w:p>
        </w:tc>
      </w:tr>
      <w:tr>
        <w:trPr/>
        <w:tc>
          <w:tcPr>
            <w:tcW w:w="4045"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566</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(7,847</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(13,478</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(17,132</w:t>
            </w:r>
          </w:p>
        </w:tc>
        <w:tc>
          <w:tcPr>
            <w:tcW w:w="329" w:type="dxa"/>
            <w:tcBorders/>
            <w:vAlign w:val="bottom"/>
          </w:tcPr>
          <w:p>
            <w:pPr>
              <w:pStyle w:val="TableContents"/>
              <w:bidi w:val="0"/>
              <w:spacing w:before="0" w:after="283"/>
              <w:jc w:val="left"/>
              <w:rPr/>
            </w:pPr>
            <w:r>
              <w:rPr/>
              <w:t>) </w:t>
            </w:r>
          </w:p>
        </w:tc>
      </w:tr>
      <w:tr>
        <w:trPr/>
        <w:tc>
          <w:tcPr>
            <w:tcW w:w="404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40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Gross Margin</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4" w:type="dxa"/>
            <w:tcBorders/>
            <w:shd w:fill="CCEEFF" w:val="clear"/>
            <w:vAlign w:val="bottom"/>
          </w:tcPr>
          <w:p>
            <w:pPr>
              <w:pStyle w:val="TableContents"/>
              <w:bidi w:val="0"/>
              <w:spacing w:before="0" w:after="283"/>
              <w:jc w:val="right"/>
              <w:rPr>
                <w:b/>
              </w:rPr>
            </w:pPr>
            <w:r>
              <w:rPr>
                <w:b/>
              </w:rPr>
              <w:t>114,054</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24" w:type="dxa"/>
            <w:tcBorders/>
            <w:shd w:fill="CCEEFF" w:val="clear"/>
            <w:vAlign w:val="bottom"/>
          </w:tcPr>
          <w:p>
            <w:pPr>
              <w:pStyle w:val="TableContents"/>
              <w:bidi w:val="0"/>
              <w:spacing w:before="0" w:after="283"/>
              <w:jc w:val="right"/>
              <w:rPr>
                <w:b/>
              </w:rPr>
            </w:pPr>
            <w:r>
              <w:rPr>
                <w:b/>
              </w:rPr>
              <w:t>90,129</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3" w:type="dxa"/>
            <w:tcBorders/>
            <w:shd w:fill="CCEEFF" w:val="clear"/>
            <w:vAlign w:val="bottom"/>
          </w:tcPr>
          <w:p>
            <w:pPr>
              <w:pStyle w:val="TableContents"/>
              <w:bidi w:val="0"/>
              <w:spacing w:before="0" w:after="283"/>
              <w:jc w:val="right"/>
              <w:rPr>
                <w:b/>
              </w:rPr>
            </w:pPr>
            <w:r>
              <w:rPr>
                <w:b/>
              </w:rPr>
              <w:t>412,509</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24" w:type="dxa"/>
            <w:tcBorders/>
            <w:shd w:fill="CCEEFF" w:val="clear"/>
            <w:vAlign w:val="bottom"/>
          </w:tcPr>
          <w:p>
            <w:pPr>
              <w:pStyle w:val="TableContents"/>
              <w:bidi w:val="0"/>
              <w:spacing w:before="0" w:after="283"/>
              <w:jc w:val="right"/>
              <w:rPr>
                <w:b/>
              </w:rPr>
            </w:pPr>
            <w:r>
              <w:rPr>
                <w:b/>
              </w:rPr>
              <w:t>406,140</w:t>
            </w:r>
          </w:p>
        </w:tc>
        <w:tc>
          <w:tcPr>
            <w:tcW w:w="329" w:type="dxa"/>
            <w:tcBorders/>
            <w:shd w:fill="CCEEFF" w:val="clear"/>
            <w:vAlign w:val="bottom"/>
          </w:tcPr>
          <w:p>
            <w:pPr>
              <w:pStyle w:val="TableContents"/>
              <w:bidi w:val="0"/>
              <w:spacing w:before="0" w:after="283"/>
              <w:jc w:val="left"/>
              <w:rPr/>
            </w:pPr>
            <w:r>
              <w:rPr/>
              <w:t> </w:t>
            </w:r>
          </w:p>
        </w:tc>
      </w:tr>
      <w:tr>
        <w:trPr/>
        <w:tc>
          <w:tcPr>
            <w:tcW w:w="404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4"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40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b/>
              </w:rPr>
            </w:pPr>
            <w:r>
              <w:rPr>
                <w:b/>
              </w:rPr>
              <w:t>16.2</w:t>
            </w:r>
          </w:p>
        </w:tc>
        <w:tc>
          <w:tcPr>
            <w:tcW w:w="320" w:type="dxa"/>
            <w:tcBorders/>
            <w:vAlign w:val="bottom"/>
          </w:tcPr>
          <w:p>
            <w:pPr>
              <w:pStyle w:val="TableContents"/>
              <w:bidi w:val="0"/>
              <w:spacing w:before="0" w:after="283"/>
              <w:jc w:val="left"/>
              <w:rPr>
                <w:b/>
              </w:rPr>
            </w:pPr>
            <w:r>
              <w:rPr>
                <w:b/>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b/>
              </w:rPr>
            </w:pPr>
            <w:r>
              <w:rPr>
                <w:b/>
              </w:rPr>
              <w:t>13.0</w:t>
            </w:r>
          </w:p>
        </w:tc>
        <w:tc>
          <w:tcPr>
            <w:tcW w:w="320" w:type="dxa"/>
            <w:tcBorders/>
            <w:vAlign w:val="bottom"/>
          </w:tcPr>
          <w:p>
            <w:pPr>
              <w:pStyle w:val="TableContents"/>
              <w:bidi w:val="0"/>
              <w:spacing w:before="0" w:after="283"/>
              <w:jc w:val="left"/>
              <w:rPr>
                <w:b/>
              </w:rPr>
            </w:pPr>
            <w:r>
              <w:rPr>
                <w:b/>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b/>
              </w:rPr>
            </w:pPr>
            <w:r>
              <w:rPr>
                <w:b/>
              </w:rPr>
              <w:t>18.5</w:t>
            </w:r>
          </w:p>
        </w:tc>
        <w:tc>
          <w:tcPr>
            <w:tcW w:w="320" w:type="dxa"/>
            <w:tcBorders/>
            <w:vAlign w:val="bottom"/>
          </w:tcPr>
          <w:p>
            <w:pPr>
              <w:pStyle w:val="TableContents"/>
              <w:bidi w:val="0"/>
              <w:spacing w:before="0" w:after="283"/>
              <w:jc w:val="left"/>
              <w:rPr>
                <w:b/>
              </w:rPr>
            </w:pPr>
            <w:r>
              <w:rPr>
                <w:b/>
              </w:rPr>
              <w:t>% </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b/>
              </w:rPr>
            </w:pPr>
            <w:r>
              <w:rPr>
                <w:b/>
              </w:rPr>
              <w:t>18.3</w:t>
            </w:r>
          </w:p>
        </w:tc>
        <w:tc>
          <w:tcPr>
            <w:tcW w:w="329"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nine months ended September 30, 2026, the National Practice group was combined with the Financial Service practice group to better align with internal management and reporting structure. As a result, the Financial Services revenue and gross margin for the three and nine months ended September 30, 2025 was adjusted to reflect this change.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operating expenses not directly allocated to individual businesses, including stock-based compensation, consolidation and integration charges, and certain advertising expenses. “Operating expenses - unallocated” also includes gains or losses attributable to the assets held in a rabbi trust associated with the Company’s deferred compensation plan. These gains or losses do not impact “Income before income tax expense” as they are directly offset by the same adjustment to “Other income (expense), net” in the Consolidated Statements of Comprehensive Income. Net gains or losses recognized from adjustments to the fair value of the assets held in the rabbi trust are recorded as compensation expense (income) in “Operating expenses” and “Corporate, general and administrative expenses,” and offset in “Other income (expense), net.”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SELECT CASH FLOW DATA (UNAUDITED) </w:t>
      </w:r>
    </w:p>
    <w:p>
      <w:pPr>
        <w:pStyle w:val="TextBody"/>
        <w:bidi w:val="0"/>
        <w:spacing w:before="0" w:after="0"/>
        <w:jc w:val="center"/>
        <w:rPr>
          <w:rFonts w:ascii="Times New Roman" w:hAnsi="Times New Roman"/>
          <w:sz w:val="20"/>
        </w:rPr>
      </w:pPr>
      <w:r>
        <w:rPr>
          <w:rFonts w:ascii="Times New Roman" w:hAnsi="Times New Roman"/>
          <w:b/>
          <w:i/>
          <w:sz w:val="20"/>
        </w:rPr>
        <w:t>(In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73"/>
        <w:gridCol w:w="223"/>
        <w:gridCol w:w="220"/>
        <w:gridCol w:w="1382"/>
        <w:gridCol w:w="243"/>
        <w:gridCol w:w="201"/>
        <w:gridCol w:w="220"/>
        <w:gridCol w:w="1385"/>
        <w:gridCol w:w="158"/>
      </w:tblGrid>
      <w:tr>
        <w:trPr/>
        <w:tc>
          <w:tcPr>
            <w:tcW w:w="617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7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6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02" w:type="dxa"/>
            <w:gridSpan w:val="2"/>
            <w:tcBorders/>
            <w:vAlign w:val="bottom"/>
          </w:tcPr>
          <w:p>
            <w:pPr>
              <w:pStyle w:val="TableContents"/>
              <w:bidi w:val="0"/>
              <w:spacing w:before="0" w:after="283"/>
              <w:jc w:val="center"/>
              <w:rPr>
                <w:b/>
              </w:rPr>
            </w:pPr>
            <w:r>
              <w:rPr>
                <w:b/>
              </w:rPr>
              <w:t>2026</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382" w:type="dxa"/>
            <w:tcBorders/>
            <w:shd w:fill="CCEEFF" w:val="clear"/>
            <w:vAlign w:val="bottom"/>
          </w:tcPr>
          <w:p>
            <w:pPr>
              <w:pStyle w:val="TableContents"/>
              <w:bidi w:val="0"/>
              <w:spacing w:before="0" w:after="283"/>
              <w:jc w:val="right"/>
              <w:rPr>
                <w:b/>
              </w:rPr>
            </w:pPr>
            <w:r>
              <w:rPr>
                <w:b/>
              </w:rPr>
              <w:t>218,627</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385" w:type="dxa"/>
            <w:tcBorders/>
            <w:shd w:fill="CCEEFF" w:val="clear"/>
            <w:vAlign w:val="bottom"/>
          </w:tcPr>
          <w:p>
            <w:pPr>
              <w:pStyle w:val="TableContents"/>
              <w:bidi w:val="0"/>
              <w:spacing w:before="0" w:after="283"/>
              <w:jc w:val="right"/>
              <w:rPr>
                <w:b/>
              </w:rPr>
            </w:pPr>
            <w:r>
              <w:rPr>
                <w:b/>
              </w:rPr>
              <w:t>194,861</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 to reconcile net income to net cash provided by operating activities: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8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operations, net of tax</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— </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(1,124</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70,411</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74,313</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Bad debt expense, net of recoveries</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5,072</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3,216</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contingent purchase price liabilities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(2,638</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1,984</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22,158</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19,572</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22,939</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8,815</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5,477</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5,256</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i/>
                <w:sz w:val="20"/>
              </w:rPr>
            </w:pPr>
            <w:r>
              <w:rPr>
                <w:rFonts w:ascii="Times New Roman" w:hAnsi="Times New Roman"/>
                <w:i/>
                <w:sz w:val="20"/>
              </w:rPr>
              <w:t>Changes in assets and liabilities, net of acquisitions and divestitures: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82"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(231,285</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(186,884</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(8,771</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(31,071</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(8,835</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9,162</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45,465</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46,364</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personnel costs</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(14,389</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(33,962</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22,824</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(61,656</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b/>
              </w:rPr>
            </w:pPr>
            <w:r>
              <w:rPr>
                <w:b/>
              </w:rPr>
              <w:t>147,055</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b/>
              </w:rPr>
            </w:pPr>
            <w:r>
              <w:rPr>
                <w:b/>
              </w:rPr>
              <w:t>48,846</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b/>
              </w:rPr>
            </w:pPr>
            <w:r>
              <w:rPr>
                <w:b/>
              </w:rPr>
              <w:t>(29,303</w:t>
            </w:r>
          </w:p>
        </w:tc>
        <w:tc>
          <w:tcPr>
            <w:tcW w:w="243" w:type="dxa"/>
            <w:tcBorders/>
            <w:vAlign w:val="bottom"/>
          </w:tcPr>
          <w:p>
            <w:pPr>
              <w:pStyle w:val="TableContents"/>
              <w:bidi w:val="0"/>
              <w:spacing w:before="0" w:after="283"/>
              <w:jc w:val="left"/>
              <w:rPr>
                <w:b/>
              </w:rPr>
            </w:pPr>
            <w:r>
              <w:rPr>
                <w:b/>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b/>
              </w:rPr>
            </w:pPr>
            <w:r>
              <w:rPr>
                <w:b/>
              </w:rPr>
              <w:t>(16,913</w:t>
            </w:r>
          </w:p>
        </w:tc>
        <w:tc>
          <w:tcPr>
            <w:tcW w:w="158" w:type="dxa"/>
            <w:tcBorders/>
            <w:vAlign w:val="bottom"/>
          </w:tcPr>
          <w:p>
            <w:pPr>
              <w:pStyle w:val="TableContents"/>
              <w:bidi w:val="0"/>
              <w:spacing w:before="0" w:after="283"/>
              <w:jc w:val="left"/>
              <w:rPr>
                <w:b/>
              </w:rPr>
            </w:pPr>
            <w:r>
              <w:rPr>
                <w:b/>
              </w:rPr>
              <w:t>) </w:t>
            </w:r>
          </w:p>
        </w:tc>
      </w:tr>
      <w:tr>
        <w:trPr/>
        <w:tc>
          <w:tcPr>
            <w:tcW w:w="6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b/>
              </w:rPr>
            </w:pPr>
            <w:r>
              <w:rPr>
                <w:b/>
              </w:rPr>
              <w:t>(185,915</w:t>
            </w:r>
          </w:p>
        </w:tc>
        <w:tc>
          <w:tcPr>
            <w:tcW w:w="243" w:type="dxa"/>
            <w:tcBorders/>
            <w:shd w:fill="CCEEFF" w:val="clear"/>
            <w:vAlign w:val="bottom"/>
          </w:tcPr>
          <w:p>
            <w:pPr>
              <w:pStyle w:val="TableContents"/>
              <w:bidi w:val="0"/>
              <w:spacing w:before="0" w:after="283"/>
              <w:jc w:val="left"/>
              <w:rPr>
                <w:b/>
              </w:rPr>
            </w:pPr>
            <w:r>
              <w:rPr>
                <w:b/>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b/>
              </w:rPr>
            </w:pPr>
            <w:r>
              <w:rPr>
                <w:b/>
              </w:rPr>
              <w:t>(75,233</w:t>
            </w:r>
          </w:p>
        </w:tc>
        <w:tc>
          <w:tcPr>
            <w:tcW w:w="158" w:type="dxa"/>
            <w:tcBorders/>
            <w:shd w:fill="CCEEFF" w:val="clear"/>
            <w:vAlign w:val="bottom"/>
          </w:tcPr>
          <w:p>
            <w:pPr>
              <w:pStyle w:val="TableContents"/>
              <w:bidi w:val="0"/>
              <w:spacing w:before="0" w:after="283"/>
              <w:jc w:val="left"/>
              <w:rPr>
                <w:b/>
              </w:rPr>
            </w:pPr>
            <w:r>
              <w:rPr>
                <w:b/>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(68,163</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(43,300</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218,090</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187,170</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382" w:type="dxa"/>
            <w:tcBorders/>
            <w:vAlign w:val="bottom"/>
          </w:tcPr>
          <w:p>
            <w:pPr>
              <w:pStyle w:val="TableContents"/>
              <w:bidi w:val="0"/>
              <w:spacing w:before="0" w:after="283"/>
              <w:jc w:val="right"/>
              <w:rPr>
                <w:b/>
              </w:rPr>
            </w:pPr>
            <w:r>
              <w:rPr>
                <w:b/>
              </w:rPr>
              <w:t>149,927</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1385" w:type="dxa"/>
            <w:tcBorders/>
            <w:vAlign w:val="bottom"/>
          </w:tcPr>
          <w:p>
            <w:pPr>
              <w:pStyle w:val="TableContents"/>
              <w:bidi w:val="0"/>
              <w:spacing w:before="0" w:after="283"/>
              <w:jc w:val="right"/>
              <w:rPr>
                <w:b/>
              </w:rPr>
            </w:pPr>
            <w:r>
              <w:rPr>
                <w:b/>
              </w:rPr>
              <w:t>143,870</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82"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10047"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 to the consolidated balance sheet:</w:t>
            </w:r>
          </w:p>
        </w:tc>
        <w:tc>
          <w:tcPr>
            <w:tcW w:w="158" w:type="dxa"/>
            <w:tcBorders/>
            <w:shd w:fill="CCEEFF" w:val="clear"/>
          </w:tcPr>
          <w:p>
            <w:pPr>
              <w:pStyle w:val="TableContents"/>
              <w:bidi w:val="0"/>
              <w:spacing w:before="0" w:after="0"/>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82" w:type="dxa"/>
            <w:tcBorders/>
            <w:vAlign w:val="bottom"/>
          </w:tcPr>
          <w:p>
            <w:pPr>
              <w:pStyle w:val="TableContents"/>
              <w:bidi w:val="0"/>
              <w:spacing w:before="0" w:after="283"/>
              <w:jc w:val="right"/>
              <w:rPr/>
            </w:pPr>
            <w:r>
              <w:rPr/>
              <w:t>17,551</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85" w:type="dxa"/>
            <w:tcBorders/>
            <w:vAlign w:val="bottom"/>
          </w:tcPr>
          <w:p>
            <w:pPr>
              <w:pStyle w:val="TableContents"/>
              <w:bidi w:val="0"/>
              <w:spacing w:before="0" w:after="283"/>
              <w:jc w:val="right"/>
              <w:rPr/>
            </w:pPr>
            <w:r>
              <w:rPr/>
              <w:t>16,969</w:t>
            </w:r>
          </w:p>
        </w:tc>
        <w:tc>
          <w:tcPr>
            <w:tcW w:w="158" w:type="dxa"/>
            <w:tcBorders/>
            <w:vAlign w:val="bottom"/>
          </w:tcPr>
          <w:p>
            <w:pPr>
              <w:pStyle w:val="TableContents"/>
              <w:bidi w:val="0"/>
              <w:spacing w:before="0" w:after="283"/>
              <w:jc w:val="left"/>
              <w:rPr/>
            </w:pPr>
            <w:r>
              <w:rPr/>
              <w:t> </w:t>
            </w:r>
          </w:p>
        </w:tc>
      </w:tr>
      <w:tr>
        <w:trPr/>
        <w:tc>
          <w:tcPr>
            <w:tcW w:w="6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right"/>
              <w:rPr/>
            </w:pPr>
            <w:r>
              <w:rPr/>
              <w:t>40,853</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44,455</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 included in funds held for clients</w:t>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right"/>
              <w:rPr/>
            </w:pPr>
            <w:r>
              <w:rPr/>
              <w:t>91,523</w:t>
            </w:r>
          </w:p>
        </w:tc>
        <w:tc>
          <w:tcPr>
            <w:tcW w:w="24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82,446</w:t>
            </w:r>
          </w:p>
        </w:tc>
        <w:tc>
          <w:tcPr>
            <w:tcW w:w="158" w:type="dxa"/>
            <w:tcBorders/>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2"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cash, cash equivalents and restricted cash</w:t>
            </w:r>
          </w:p>
        </w:tc>
        <w:tc>
          <w:tcPr>
            <w:tcW w:w="22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382" w:type="dxa"/>
            <w:tcBorders/>
            <w:shd w:fill="CCEEFF" w:val="clear"/>
            <w:vAlign w:val="bottom"/>
          </w:tcPr>
          <w:p>
            <w:pPr>
              <w:pStyle w:val="TableContents"/>
              <w:bidi w:val="0"/>
              <w:spacing w:before="0" w:after="283"/>
              <w:jc w:val="right"/>
              <w:rPr>
                <w:b/>
              </w:rPr>
            </w:pPr>
            <w:r>
              <w:rPr>
                <w:b/>
              </w:rPr>
              <w:t>149,927</w:t>
            </w:r>
          </w:p>
        </w:tc>
        <w:tc>
          <w:tcPr>
            <w:tcW w:w="24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1385" w:type="dxa"/>
            <w:tcBorders/>
            <w:shd w:fill="CCEEFF" w:val="clear"/>
            <w:vAlign w:val="bottom"/>
          </w:tcPr>
          <w:p>
            <w:pPr>
              <w:pStyle w:val="TableContents"/>
              <w:bidi w:val="0"/>
              <w:spacing w:before="0" w:after="283"/>
              <w:jc w:val="right"/>
              <w:rPr>
                <w:b/>
              </w:rPr>
            </w:pPr>
            <w:r>
              <w:rPr>
                <w:b/>
              </w:rPr>
              <w:t>143,870</w:t>
            </w:r>
          </w:p>
        </w:tc>
        <w:tc>
          <w:tcPr>
            <w:tcW w:w="158" w:type="dxa"/>
            <w:tcBorders/>
            <w:shd w:fill="CCEEFF" w:val="clear"/>
            <w:vAlign w:val="bottom"/>
          </w:tcPr>
          <w:p>
            <w:pPr>
              <w:pStyle w:val="TableContents"/>
              <w:bidi w:val="0"/>
              <w:spacing w:before="0" w:after="283"/>
              <w:jc w:val="left"/>
              <w:rPr/>
            </w:pPr>
            <w:r>
              <w:rPr/>
              <w:t> </w:t>
            </w:r>
          </w:p>
        </w:tc>
      </w:tr>
      <w:tr>
        <w:trPr/>
        <w:tc>
          <w:tcPr>
            <w:tcW w:w="617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82"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GAAP RECONCILIATION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Operating Cash Flow to Free Cash Flow(1)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2"/>
        <w:gridCol w:w="163"/>
        <w:gridCol w:w="241"/>
        <w:gridCol w:w="1388"/>
        <w:gridCol w:w="266"/>
        <w:gridCol w:w="149"/>
        <w:gridCol w:w="241"/>
        <w:gridCol w:w="1327"/>
        <w:gridCol w:w="158"/>
      </w:tblGrid>
      <w:tr>
        <w:trPr/>
        <w:tc>
          <w:tcPr>
            <w:tcW w:w="6272"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36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8"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2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16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388" w:type="dxa"/>
            <w:tcBorders/>
            <w:shd w:fill="CCEEFF" w:val="clear"/>
            <w:vAlign w:val="bottom"/>
          </w:tcPr>
          <w:p>
            <w:pPr>
              <w:pStyle w:val="TableContents"/>
              <w:bidi w:val="0"/>
              <w:spacing w:before="0" w:after="283"/>
              <w:jc w:val="right"/>
              <w:rPr/>
            </w:pPr>
            <w:r>
              <w:rPr/>
              <w:t>147,055</w:t>
            </w:r>
          </w:p>
        </w:tc>
        <w:tc>
          <w:tcPr>
            <w:tcW w:w="2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48,846</w:t>
            </w:r>
          </w:p>
        </w:tc>
        <w:tc>
          <w:tcPr>
            <w:tcW w:w="158" w:type="dxa"/>
            <w:tcBorders/>
            <w:shd w:fill="CCEEFF" w:val="clear"/>
            <w:vAlign w:val="bottom"/>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Times New Roman" w:hAnsi="Times New Roman"/>
                <w:i/>
                <w:sz w:val="20"/>
              </w:rPr>
            </w:pPr>
            <w:r>
              <w:rPr>
                <w:rFonts w:ascii="Times New Roman" w:hAnsi="Times New Roman"/>
                <w:i/>
                <w:sz w:val="20"/>
              </w:rPr>
              <w:t>Less:</w:t>
            </w:r>
          </w:p>
        </w:tc>
        <w:tc>
          <w:tcPr>
            <w:tcW w:w="16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property and equipment</w:t>
            </w:r>
          </w:p>
        </w:tc>
        <w:tc>
          <w:tcPr>
            <w:tcW w:w="16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(21,820</w:t>
            </w:r>
          </w:p>
        </w:tc>
        <w:tc>
          <w:tcPr>
            <w:tcW w:w="266"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(15,035</w:t>
            </w:r>
          </w:p>
        </w:tc>
        <w:tc>
          <w:tcPr>
            <w:tcW w:w="158" w:type="dxa"/>
            <w:tcBorders/>
            <w:shd w:fill="CCEEFF" w:val="clear"/>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72" w:type="dxa"/>
            <w:tcBorders/>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6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b/>
              </w:rPr>
            </w:pPr>
            <w:r>
              <w:rPr>
                <w:b/>
              </w:rPr>
              <w:t>$</w:t>
            </w:r>
          </w:p>
        </w:tc>
        <w:tc>
          <w:tcPr>
            <w:tcW w:w="1388" w:type="dxa"/>
            <w:tcBorders/>
            <w:vAlign w:val="bottom"/>
          </w:tcPr>
          <w:p>
            <w:pPr>
              <w:pStyle w:val="TableContents"/>
              <w:bidi w:val="0"/>
              <w:spacing w:before="0" w:after="283"/>
              <w:jc w:val="right"/>
              <w:rPr>
                <w:b/>
              </w:rPr>
            </w:pPr>
            <w:r>
              <w:rPr>
                <w:b/>
              </w:rPr>
              <w:t>125,235</w:t>
            </w:r>
          </w:p>
        </w:tc>
        <w:tc>
          <w:tcPr>
            <w:tcW w:w="26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b/>
              </w:rPr>
            </w:pPr>
            <w:r>
              <w:rPr>
                <w:b/>
              </w:rPr>
              <w:t>$</w:t>
            </w:r>
          </w:p>
        </w:tc>
        <w:tc>
          <w:tcPr>
            <w:tcW w:w="1327" w:type="dxa"/>
            <w:tcBorders/>
            <w:vAlign w:val="bottom"/>
          </w:tcPr>
          <w:p>
            <w:pPr>
              <w:pStyle w:val="TableContents"/>
              <w:bidi w:val="0"/>
              <w:spacing w:before="0" w:after="283"/>
              <w:jc w:val="right"/>
              <w:rPr>
                <w:b/>
              </w:rPr>
            </w:pPr>
            <w:r>
              <w:rPr>
                <w:b/>
              </w:rPr>
              <w:t>33,811</w:t>
            </w:r>
          </w:p>
        </w:tc>
        <w:tc>
          <w:tcPr>
            <w:tcW w:w="158" w:type="dxa"/>
            <w:tcBorders/>
            <w:vAlign w:val="bottom"/>
          </w:tcPr>
          <w:p>
            <w:pPr>
              <w:pStyle w:val="TableContents"/>
              <w:bidi w:val="0"/>
              <w:spacing w:before="0" w:after="283"/>
              <w:jc w:val="left"/>
              <w:rPr/>
            </w:pPr>
            <w:r>
              <w:rPr/>
              <w:t> </w:t>
            </w:r>
          </w:p>
        </w:tc>
      </w:tr>
      <w:tr>
        <w:trPr/>
        <w:tc>
          <w:tcPr>
            <w:tcW w:w="627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388" w:type="dxa"/>
            <w:tcBorders/>
            <w:vAlign w:val="bottom"/>
          </w:tcPr>
          <w:p>
            <w:pPr>
              <w:pStyle w:val="TableContents"/>
              <w:pBdr>
                <w:top w:val="double" w:sz="6" w:space="1" w:color="000000"/>
              </w:pBdr>
              <w:bidi w:val="0"/>
              <w:spacing w:before="0" w:after="0"/>
              <w:jc w:val="left"/>
              <w:rPr/>
            </w:pPr>
            <w:r>
              <w:rPr/>
              <w:t> </w:t>
            </w:r>
          </w:p>
        </w:tc>
        <w:tc>
          <w:tcPr>
            <w:tcW w:w="266"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reconciles Free Cash Flow to the most directly comparable GAAP financial measure of net cash provided by operating activities. Free Cash Flow is a non-GAAP measure that management believes provides a more complete understanding of the factors and trends affecting our cash flows. This information is useful to investors, as it offers a measure of cash generated from our business that can be used for our strategic business objectives.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SELECT FINANCIAL DATA AND RATIOS (UNAUDITED) </w:t>
      </w:r>
    </w:p>
    <w:p>
      <w:pPr>
        <w:pStyle w:val="TextBody"/>
        <w:bidi w:val="0"/>
        <w:spacing w:before="0" w:after="0"/>
        <w:jc w:val="center"/>
        <w:rPr>
          <w:rFonts w:ascii="Times New Roman" w:hAnsi="Times New Roman"/>
          <w:sz w:val="20"/>
        </w:rPr>
      </w:pPr>
      <w:r>
        <w:rPr>
          <w:rFonts w:ascii="Times New Roman" w:hAnsi="Times New Roman"/>
          <w:b/>
          <w:i/>
          <w:sz w:val="20"/>
        </w:rPr>
        <w:t>(In thousands, except percentages, DSO, and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8"/>
        <w:gridCol w:w="290"/>
        <w:gridCol w:w="172"/>
        <w:gridCol w:w="1326"/>
        <w:gridCol w:w="276"/>
        <w:gridCol w:w="244"/>
        <w:gridCol w:w="165"/>
        <w:gridCol w:w="1285"/>
        <w:gridCol w:w="279"/>
      </w:tblGrid>
      <w:tr>
        <w:trPr/>
        <w:tc>
          <w:tcPr>
            <w:tcW w:w="6168"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16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center"/>
              <w:rPr>
                <w:b/>
              </w:rPr>
            </w:pPr>
            <w:r>
              <w:rPr>
                <w:b/>
              </w:rPr>
              <w:t>September 30,</w:t>
              <w:br/>
              <w:t>2026</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50" w:type="dxa"/>
            <w:gridSpan w:val="2"/>
            <w:tcBorders/>
            <w:vAlign w:val="bottom"/>
          </w:tcPr>
          <w:p>
            <w:pPr>
              <w:pStyle w:val="TableContents"/>
              <w:bidi w:val="0"/>
              <w:spacing w:before="0" w:after="283"/>
              <w:jc w:val="center"/>
              <w:rPr>
                <w:b/>
              </w:rPr>
            </w:pPr>
            <w:r>
              <w:rPr>
                <w:b/>
              </w:rPr>
              <w:t>December 31,</w:t>
              <w:br/>
              <w:t>2025</w:t>
            </w:r>
          </w:p>
        </w:tc>
        <w:tc>
          <w:tcPr>
            <w:tcW w:w="2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17,551</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18,290</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40,853</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38,234</w:t>
            </w:r>
          </w:p>
        </w:tc>
        <w:tc>
          <w:tcPr>
            <w:tcW w:w="2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782,392</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555,995</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88,389</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79,693</w:t>
            </w:r>
          </w:p>
        </w:tc>
        <w:tc>
          <w:tcPr>
            <w:tcW w:w="27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 before funds held for clients</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929,185</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692,212</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Funds held for clients</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134,454</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207,037</w:t>
            </w:r>
          </w:p>
        </w:tc>
        <w:tc>
          <w:tcPr>
            <w:tcW w:w="2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2,828,643</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2,869,790</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1326" w:type="dxa"/>
            <w:tcBorders/>
            <w:vAlign w:val="bottom"/>
          </w:tcPr>
          <w:p>
            <w:pPr>
              <w:pStyle w:val="TableContents"/>
              <w:bidi w:val="0"/>
              <w:spacing w:before="0" w:after="283"/>
              <w:jc w:val="right"/>
              <w:rPr>
                <w:b/>
              </w:rPr>
            </w:pPr>
            <w:r>
              <w:rPr>
                <w:b/>
              </w:rPr>
              <w:t>4,610,429</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285" w:type="dxa"/>
            <w:tcBorders/>
            <w:vAlign w:val="bottom"/>
          </w:tcPr>
          <w:p>
            <w:pPr>
              <w:pStyle w:val="TableContents"/>
              <w:bidi w:val="0"/>
              <w:spacing w:before="0" w:after="283"/>
              <w:jc w:val="right"/>
              <w:rPr>
                <w:b/>
              </w:rPr>
            </w:pPr>
            <w:r>
              <w:rPr>
                <w:b/>
              </w:rPr>
              <w:t>4,409,528</w:t>
            </w:r>
          </w:p>
        </w:tc>
        <w:tc>
          <w:tcPr>
            <w:tcW w:w="27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32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 before client fund obligations, excluding short-term debt</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468,227</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462,484</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Client fund obligations</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135,305</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206,738</w:t>
            </w:r>
          </w:p>
        </w:tc>
        <w:tc>
          <w:tcPr>
            <w:tcW w:w="2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Term Loan (1)</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96,250</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70,000</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Revolver Facility (1)</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176,500</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142,400</w:t>
            </w:r>
          </w:p>
        </w:tc>
        <w:tc>
          <w:tcPr>
            <w:tcW w:w="2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 Term Loan(1)</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1,181,250</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1,260,000</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1326" w:type="dxa"/>
            <w:tcBorders/>
            <w:vAlign w:val="bottom"/>
          </w:tcPr>
          <w:p>
            <w:pPr>
              <w:pStyle w:val="TableContents"/>
              <w:bidi w:val="0"/>
              <w:spacing w:before="0" w:after="283"/>
              <w:jc w:val="right"/>
              <w:rPr>
                <w:b/>
              </w:rPr>
            </w:pPr>
            <w:r>
              <w:rPr>
                <w:b/>
              </w:rPr>
              <w:t>2,697,705</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285" w:type="dxa"/>
            <w:tcBorders/>
            <w:vAlign w:val="bottom"/>
          </w:tcPr>
          <w:p>
            <w:pPr>
              <w:pStyle w:val="TableContents"/>
              <w:bidi w:val="0"/>
              <w:spacing w:before="0" w:after="283"/>
              <w:jc w:val="right"/>
              <w:rPr>
                <w:b/>
              </w:rPr>
            </w:pPr>
            <w:r>
              <w:rPr>
                <w:b/>
              </w:rPr>
              <w:t>2,647,461</w:t>
            </w:r>
          </w:p>
        </w:tc>
        <w:tc>
          <w:tcPr>
            <w:tcW w:w="27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(1,156,495</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(1,078,521</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1326" w:type="dxa"/>
            <w:tcBorders/>
            <w:vAlign w:val="bottom"/>
          </w:tcPr>
          <w:p>
            <w:pPr>
              <w:pStyle w:val="TableContents"/>
              <w:bidi w:val="0"/>
              <w:spacing w:before="0" w:after="283"/>
              <w:jc w:val="right"/>
              <w:rPr>
                <w:b/>
              </w:rPr>
            </w:pPr>
            <w:r>
              <w:rPr>
                <w:b/>
              </w:rPr>
              <w:t>1,912,724</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1285" w:type="dxa"/>
            <w:tcBorders/>
            <w:vAlign w:val="bottom"/>
          </w:tcPr>
          <w:p>
            <w:pPr>
              <w:pStyle w:val="TableContents"/>
              <w:bidi w:val="0"/>
              <w:spacing w:before="0" w:after="283"/>
              <w:jc w:val="right"/>
              <w:rPr>
                <w:b/>
              </w:rPr>
            </w:pPr>
            <w:r>
              <w:rPr>
                <w:b/>
              </w:rPr>
              <w:t>1,762,067</w:t>
            </w:r>
          </w:p>
        </w:tc>
        <w:tc>
          <w:tcPr>
            <w:tcW w:w="279" w:type="dxa"/>
            <w:tcBorders/>
            <w:vAlign w:val="bottom"/>
          </w:tcPr>
          <w:p>
            <w:pPr>
              <w:pStyle w:val="TableContents"/>
              <w:bidi w:val="0"/>
              <w:spacing w:before="0" w:after="283"/>
              <w:jc w:val="left"/>
              <w:rPr/>
            </w:pPr>
            <w:r>
              <w:rPr/>
              <w:t> </w:t>
            </w:r>
          </w:p>
        </w:tc>
      </w:tr>
      <w:tr>
        <w:trPr/>
        <w:tc>
          <w:tcPr>
            <w:tcW w:w="616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32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to equity</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66.8</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75.5</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Shares outstanding</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54,761</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54,380</w:t>
            </w:r>
          </w:p>
        </w:tc>
        <w:tc>
          <w:tcPr>
            <w:tcW w:w="2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shares outstanding</w:t>
            </w:r>
          </w:p>
        </w:tc>
        <w:tc>
          <w:tcPr>
            <w:tcW w:w="2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60,057</w:t>
            </w:r>
          </w:p>
        </w:tc>
        <w:tc>
          <w:tcPr>
            <w:tcW w:w="2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62,909</w:t>
            </w:r>
          </w:p>
        </w:tc>
        <w:tc>
          <w:tcPr>
            <w:tcW w:w="2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shares outstanding</w:t>
            </w:r>
          </w:p>
        </w:tc>
        <w:tc>
          <w:tcPr>
            <w:tcW w:w="2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60,333</w:t>
            </w:r>
          </w:p>
        </w:tc>
        <w:tc>
          <w:tcPr>
            <w:tcW w:w="2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63,240</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gross debt for the Term Loan and Revolving Credit Facility excluding the associated unamortized deferred debt issuance costs totaling $13.8 million and $16.5 million, respectively, as of September 30, 2026 and December 31,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GAAP RECONCILIATION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Net Income (Loss) and Diluted Earnings Per Share (“EPS”) to Adjusted Net Income (Loss), Adjusted Diluted EPS,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Adjusted EBITDA, and Adjusted EBITDA Margin(1) </w:t>
      </w:r>
    </w:p>
    <w:p>
      <w:pPr>
        <w:pStyle w:val="TextBody"/>
        <w:bidi w:val="0"/>
        <w:spacing w:before="0" w:after="0"/>
        <w:jc w:val="center"/>
        <w:rPr>
          <w:rFonts w:ascii="Times New Roman" w:hAnsi="Times New Roman"/>
          <w:sz w:val="20"/>
        </w:rPr>
      </w:pPr>
      <w:r>
        <w:rPr>
          <w:rFonts w:ascii="Times New Roman" w:hAnsi="Times New Roman"/>
          <w:b/>
          <w:i/>
          <w:sz w:val="20"/>
        </w:rPr>
        <w:t>(Unaudited. Amounts in thousands, except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4"/>
        <w:gridCol w:w="163"/>
        <w:gridCol w:w="143"/>
        <w:gridCol w:w="828"/>
        <w:gridCol w:w="276"/>
        <w:gridCol w:w="109"/>
        <w:gridCol w:w="218"/>
        <w:gridCol w:w="1073"/>
        <w:gridCol w:w="276"/>
        <w:gridCol w:w="108"/>
        <w:gridCol w:w="209"/>
        <w:gridCol w:w="1136"/>
        <w:gridCol w:w="155"/>
        <w:gridCol w:w="109"/>
        <w:gridCol w:w="201"/>
        <w:gridCol w:w="1157"/>
        <w:gridCol w:w="276"/>
        <w:gridCol w:w="109"/>
        <w:gridCol w:w="140"/>
        <w:gridCol w:w="522"/>
        <w:gridCol w:w="163"/>
      </w:tblGrid>
      <w:tr>
        <w:trPr/>
        <w:tc>
          <w:tcPr>
            <w:tcW w:w="283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04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2026</w:t>
            </w:r>
          </w:p>
        </w:tc>
        <w:tc>
          <w:tcPr>
            <w:tcW w:w="163" w:type="dxa"/>
            <w:tcBorders/>
            <w:vAlign w:val="bottom"/>
          </w:tcPr>
          <w:p>
            <w:pPr>
              <w:pStyle w:val="TableContents"/>
              <w:bidi w:val="0"/>
              <w:spacing w:before="0" w:after="283"/>
              <w:jc w:val="left"/>
              <w:rPr/>
            </w:pPr>
            <w:r>
              <w:rPr/>
              <w:t> </w:t>
            </w:r>
          </w:p>
        </w:tc>
      </w:tr>
      <w:tr>
        <w:trPr/>
        <w:tc>
          <w:tcPr>
            <w:tcW w:w="2834"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3" w:type="dxa"/>
            <w:tcBorders/>
            <w:vAlign w:val="bottom"/>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110,323</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73" w:type="dxa"/>
            <w:tcBorders/>
            <w:shd w:fill="CCEEFF" w:val="clear"/>
            <w:vAlign w:val="bottom"/>
          </w:tcPr>
          <w:p>
            <w:pPr>
              <w:pStyle w:val="TableContents"/>
              <w:bidi w:val="0"/>
              <w:spacing w:before="0" w:after="283"/>
              <w:jc w:val="right"/>
              <w:rPr>
                <w:b/>
              </w:rPr>
            </w:pPr>
            <w:r>
              <w:rPr>
                <w:b/>
              </w:rPr>
              <w:t>18,495</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36" w:type="dxa"/>
            <w:tcBorders/>
            <w:shd w:fill="CCEEFF" w:val="clear"/>
            <w:vAlign w:val="bottom"/>
          </w:tcPr>
          <w:p>
            <w:pPr>
              <w:pStyle w:val="TableContents"/>
              <w:bidi w:val="0"/>
              <w:spacing w:before="0" w:after="283"/>
              <w:jc w:val="right"/>
              <w:rPr>
                <w:b/>
              </w:rPr>
            </w:pPr>
            <w:r>
              <w:rPr>
                <w:b/>
              </w:rPr>
              <w:t>(81,582</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47,236</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22" w:type="dxa"/>
            <w:tcBorders/>
            <w:shd w:fill="CCEEFF" w:val="clear"/>
            <w:vAlign w:val="bottom"/>
          </w:tcPr>
          <w:p>
            <w:pPr>
              <w:pStyle w:val="TableContents"/>
              <w:bidi w:val="0"/>
              <w:spacing w:before="0" w:after="283"/>
              <w:jc w:val="right"/>
              <w:rPr>
                <w:b/>
              </w:rPr>
            </w:pPr>
            <w:r>
              <w:rPr>
                <w:b/>
              </w:rPr>
              <w:t>0.79</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17,138</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1,085</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18,223</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0.30</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1,008</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16,312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17,321</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0.29</w:t>
            </w:r>
          </w:p>
        </w:tc>
        <w:tc>
          <w:tcPr>
            <w:tcW w:w="163" w:type="dxa"/>
            <w:tcBorders/>
            <w:vAlign w:val="bottom"/>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projects related costs(3)</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110</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190</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1,836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2,136</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0.04</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compensation(4)</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944</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2,498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3,442</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0.06</w:t>
            </w:r>
          </w:p>
        </w:tc>
        <w:tc>
          <w:tcPr>
            <w:tcW w:w="163" w:type="dxa"/>
            <w:tcBorders/>
            <w:vAlign w:val="bottom"/>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ESPP correction income (6)</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(5,933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(5,933</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(0.10</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(10,222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(10,222</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(0.17</w:t>
            </w:r>
          </w:p>
        </w:tc>
        <w:tc>
          <w:tcPr>
            <w:tcW w:w="163" w:type="dxa"/>
            <w:tcBorders/>
            <w:vAlign w:val="bottom"/>
          </w:tcPr>
          <w:p>
            <w:pPr>
              <w:pStyle w:val="TableContents"/>
              <w:bidi w:val="0"/>
              <w:spacing w:before="0" w:after="283"/>
              <w:jc w:val="left"/>
              <w:rPr/>
            </w:pPr>
            <w:r>
              <w:rPr/>
              <w:t>) </w:t>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129,523</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73" w:type="dxa"/>
            <w:tcBorders/>
            <w:shd w:fill="CCEEFF" w:val="clear"/>
            <w:vAlign w:val="bottom"/>
          </w:tcPr>
          <w:p>
            <w:pPr>
              <w:pStyle w:val="TableContents"/>
              <w:bidi w:val="0"/>
              <w:spacing w:before="0" w:after="283"/>
              <w:jc w:val="right"/>
              <w:rPr>
                <w:b/>
              </w:rPr>
            </w:pPr>
            <w:r>
              <w:rPr>
                <w:b/>
              </w:rPr>
              <w:t>19,771</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36" w:type="dxa"/>
            <w:tcBorders/>
            <w:shd w:fill="CCEEFF" w:val="clear"/>
            <w:vAlign w:val="bottom"/>
          </w:tcPr>
          <w:p>
            <w:pPr>
              <w:pStyle w:val="TableContents"/>
              <w:bidi w:val="0"/>
              <w:spacing w:before="0" w:after="283"/>
              <w:jc w:val="right"/>
              <w:rPr>
                <w:b/>
              </w:rPr>
            </w:pPr>
            <w:r>
              <w:rPr>
                <w:b/>
              </w:rPr>
              <w:t>(77,091</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72,203</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22" w:type="dxa"/>
            <w:tcBorders/>
            <w:shd w:fill="CCEEFF" w:val="clear"/>
            <w:vAlign w:val="bottom"/>
          </w:tcPr>
          <w:p>
            <w:pPr>
              <w:pStyle w:val="TableContents"/>
              <w:bidi w:val="0"/>
              <w:spacing w:before="0" w:after="283"/>
              <w:jc w:val="right"/>
              <w:rPr>
                <w:b/>
              </w:rPr>
            </w:pPr>
            <w:r>
              <w:rPr>
                <w:b/>
              </w:rPr>
              <w:t>1.21</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23,986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23,986</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20,404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20,404</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10,222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10,222</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(7)</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3,159</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491</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1,387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5,037</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132,682</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73" w:type="dxa"/>
            <w:tcBorders/>
            <w:vAlign w:val="bottom"/>
          </w:tcPr>
          <w:p>
            <w:pPr>
              <w:pStyle w:val="TableContents"/>
              <w:bidi w:val="0"/>
              <w:spacing w:before="0" w:after="283"/>
              <w:jc w:val="right"/>
              <w:rPr>
                <w:b/>
              </w:rPr>
            </w:pPr>
            <w:r>
              <w:rPr>
                <w:b/>
              </w:rPr>
              <w:t>20,262</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136" w:type="dxa"/>
            <w:tcBorders/>
            <w:vAlign w:val="bottom"/>
          </w:tcPr>
          <w:p>
            <w:pPr>
              <w:pStyle w:val="TableContents"/>
              <w:bidi w:val="0"/>
              <w:spacing w:before="0" w:after="283"/>
              <w:jc w:val="right"/>
              <w:rPr>
                <w:b/>
              </w:rPr>
            </w:pPr>
            <w:r>
              <w:rPr>
                <w:b/>
              </w:rPr>
              <w:t>(21,092</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57" w:type="dxa"/>
            <w:tcBorders/>
            <w:vAlign w:val="bottom"/>
          </w:tcPr>
          <w:p>
            <w:pPr>
              <w:pStyle w:val="TableContents"/>
              <w:bidi w:val="0"/>
              <w:spacing w:before="0" w:after="283"/>
              <w:jc w:val="right"/>
              <w:rPr>
                <w:b/>
              </w:rPr>
            </w:pPr>
            <w:r>
              <w:rPr>
                <w:b/>
              </w:rPr>
              <w:t>131,852</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22.2</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19.4</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N/A</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18.8</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4"/>
        <w:gridCol w:w="163"/>
        <w:gridCol w:w="143"/>
        <w:gridCol w:w="828"/>
        <w:gridCol w:w="276"/>
        <w:gridCol w:w="109"/>
        <w:gridCol w:w="218"/>
        <w:gridCol w:w="1073"/>
        <w:gridCol w:w="276"/>
        <w:gridCol w:w="108"/>
        <w:gridCol w:w="209"/>
        <w:gridCol w:w="1136"/>
        <w:gridCol w:w="155"/>
        <w:gridCol w:w="109"/>
        <w:gridCol w:w="201"/>
        <w:gridCol w:w="1157"/>
        <w:gridCol w:w="276"/>
        <w:gridCol w:w="109"/>
        <w:gridCol w:w="140"/>
        <w:gridCol w:w="522"/>
        <w:gridCol w:w="163"/>
      </w:tblGrid>
      <w:tr>
        <w:trPr/>
        <w:tc>
          <w:tcPr>
            <w:tcW w:w="2834"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04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163" w:type="dxa"/>
            <w:tcBorders/>
            <w:vAlign w:val="bottom"/>
          </w:tcPr>
          <w:p>
            <w:pPr>
              <w:pStyle w:val="TableContents"/>
              <w:bidi w:val="0"/>
              <w:spacing w:before="0" w:after="283"/>
              <w:jc w:val="left"/>
              <w:rPr/>
            </w:pPr>
            <w:r>
              <w:rPr/>
              <w:t> </w:t>
            </w:r>
          </w:p>
        </w:tc>
      </w:tr>
      <w:tr>
        <w:trPr/>
        <w:tc>
          <w:tcPr>
            <w:tcW w:w="2834"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3" w:type="dxa"/>
            <w:tcBorders/>
            <w:vAlign w:val="bottom"/>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96,410</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73" w:type="dxa"/>
            <w:tcBorders/>
            <w:shd w:fill="CCEEFF" w:val="clear"/>
            <w:vAlign w:val="bottom"/>
          </w:tcPr>
          <w:p>
            <w:pPr>
              <w:pStyle w:val="TableContents"/>
              <w:bidi w:val="0"/>
              <w:spacing w:before="0" w:after="283"/>
              <w:jc w:val="right"/>
              <w:rPr>
                <w:b/>
              </w:rPr>
            </w:pPr>
            <w:r>
              <w:rPr>
                <w:b/>
              </w:rPr>
              <w:t>19,347</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36" w:type="dxa"/>
            <w:tcBorders/>
            <w:shd w:fill="CCEEFF" w:val="clear"/>
            <w:vAlign w:val="bottom"/>
          </w:tcPr>
          <w:p>
            <w:pPr>
              <w:pStyle w:val="TableContents"/>
              <w:bidi w:val="0"/>
              <w:spacing w:before="0" w:after="283"/>
              <w:jc w:val="right"/>
              <w:rPr>
                <w:b/>
              </w:rPr>
            </w:pPr>
            <w:r>
              <w:rPr>
                <w:b/>
              </w:rPr>
              <w:t>(85,611</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30,146</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22" w:type="dxa"/>
            <w:tcBorders/>
            <w:shd w:fill="CCEEFF" w:val="clear"/>
            <w:vAlign w:val="bottom"/>
          </w:tcPr>
          <w:p>
            <w:pPr>
              <w:pStyle w:val="TableContents"/>
              <w:bidi w:val="0"/>
              <w:spacing w:before="0" w:after="283"/>
              <w:jc w:val="right"/>
              <w:rPr>
                <w:b/>
              </w:rPr>
            </w:pPr>
            <w:r>
              <w:rPr>
                <w:b/>
              </w:rPr>
              <w:t>0.48</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17,090</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1,658</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18,748</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0.30</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10,340</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228</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18,071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28,639</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0.46</w:t>
            </w:r>
          </w:p>
        </w:tc>
        <w:tc>
          <w:tcPr>
            <w:tcW w:w="163" w:type="dxa"/>
            <w:tcBorders/>
            <w:vAlign w:val="bottom"/>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and related costs(5)</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(293</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compensation(4)</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3,977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3,977</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0.06</w:t>
            </w:r>
          </w:p>
        </w:tc>
        <w:tc>
          <w:tcPr>
            <w:tcW w:w="163" w:type="dxa"/>
            <w:tcBorders/>
            <w:vAlign w:val="bottom"/>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operations, net</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(1,124</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(1,124</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right"/>
              <w:rPr/>
            </w:pPr>
            <w:r>
              <w:rPr/>
              <w:t>(0.02</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(12,635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(12,635</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(0.22</w:t>
            </w:r>
          </w:p>
        </w:tc>
        <w:tc>
          <w:tcPr>
            <w:tcW w:w="163" w:type="dxa"/>
            <w:tcBorders/>
            <w:vAlign w:val="bottom"/>
          </w:tcPr>
          <w:p>
            <w:pPr>
              <w:pStyle w:val="TableContents"/>
              <w:bidi w:val="0"/>
              <w:spacing w:before="0" w:after="283"/>
              <w:jc w:val="left"/>
              <w:rPr/>
            </w:pPr>
            <w:r>
              <w:rPr/>
              <w:t>) </w:t>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2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28" w:type="dxa"/>
            <w:tcBorders/>
            <w:shd w:fill="CCEEFF" w:val="clear"/>
            <w:vAlign w:val="bottom"/>
          </w:tcPr>
          <w:p>
            <w:pPr>
              <w:pStyle w:val="TableContents"/>
              <w:bidi w:val="0"/>
              <w:spacing w:before="0" w:after="283"/>
              <w:jc w:val="right"/>
              <w:rPr>
                <w:b/>
              </w:rPr>
            </w:pPr>
            <w:r>
              <w:rPr>
                <w:b/>
              </w:rPr>
              <w:t>122,716</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73" w:type="dxa"/>
            <w:tcBorders/>
            <w:shd w:fill="CCEEFF" w:val="clear"/>
            <w:vAlign w:val="bottom"/>
          </w:tcPr>
          <w:p>
            <w:pPr>
              <w:pStyle w:val="TableContents"/>
              <w:bidi w:val="0"/>
              <w:spacing w:before="0" w:after="283"/>
              <w:jc w:val="right"/>
              <w:rPr>
                <w:b/>
              </w:rPr>
            </w:pPr>
            <w:r>
              <w:rPr>
                <w:b/>
              </w:rPr>
              <w:t>21,233</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36" w:type="dxa"/>
            <w:tcBorders/>
            <w:shd w:fill="CCEEFF" w:val="clear"/>
            <w:vAlign w:val="bottom"/>
          </w:tcPr>
          <w:p>
            <w:pPr>
              <w:pStyle w:val="TableContents"/>
              <w:bidi w:val="0"/>
              <w:spacing w:before="0" w:after="283"/>
              <w:jc w:val="right"/>
              <w:rPr>
                <w:b/>
              </w:rPr>
            </w:pPr>
            <w:r>
              <w:rPr>
                <w:b/>
              </w:rPr>
              <w:t>(76,491</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57" w:type="dxa"/>
            <w:tcBorders/>
            <w:shd w:fill="CCEEFF" w:val="clear"/>
            <w:vAlign w:val="bottom"/>
          </w:tcPr>
          <w:p>
            <w:pPr>
              <w:pStyle w:val="TableContents"/>
              <w:bidi w:val="0"/>
              <w:spacing w:before="0" w:after="283"/>
              <w:jc w:val="right"/>
              <w:rPr>
                <w:b/>
              </w:rPr>
            </w:pPr>
            <w:r>
              <w:rPr>
                <w:b/>
              </w:rPr>
              <w:t>67,458</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22" w:type="dxa"/>
            <w:tcBorders/>
            <w:shd w:fill="CCEEFF" w:val="clear"/>
            <w:vAlign w:val="bottom"/>
          </w:tcPr>
          <w:p>
            <w:pPr>
              <w:pStyle w:val="TableContents"/>
              <w:bidi w:val="0"/>
              <w:spacing w:before="0" w:after="283"/>
              <w:jc w:val="right"/>
              <w:rPr>
                <w:b/>
              </w:rPr>
            </w:pPr>
            <w:r>
              <w:rPr>
                <w:b/>
              </w:rPr>
              <w:t>1.06</w:t>
            </w:r>
          </w:p>
        </w:tc>
        <w:tc>
          <w:tcPr>
            <w:tcW w:w="163" w:type="dxa"/>
            <w:tcBorders/>
            <w:shd w:fill="CCEEFF" w:val="clear"/>
            <w:vAlign w:val="bottom"/>
          </w:tcPr>
          <w:p>
            <w:pPr>
              <w:pStyle w:val="TableContents"/>
              <w:bidi w:val="0"/>
              <w:spacing w:before="0" w:after="283"/>
              <w:jc w:val="left"/>
              <w:rPr/>
            </w:pPr>
            <w:r>
              <w:rPr/>
              <w:t> </w:t>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2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27,960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27,960</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10,260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10,260</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34" w:type="dxa"/>
            <w:tcBorders/>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12,635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12,635</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Depreciation(7)</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4,015</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525</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1,152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5,692</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28" w:type="dxa"/>
            <w:tcBorders/>
            <w:vAlign w:val="bottom"/>
          </w:tcPr>
          <w:p>
            <w:pPr>
              <w:pStyle w:val="TableContents"/>
              <w:bidi w:val="0"/>
              <w:spacing w:before="0" w:after="283"/>
              <w:jc w:val="right"/>
              <w:rPr>
                <w:b/>
              </w:rPr>
            </w:pPr>
            <w:r>
              <w:rPr>
                <w:b/>
              </w:rPr>
              <w:t>126,731</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73" w:type="dxa"/>
            <w:tcBorders/>
            <w:vAlign w:val="bottom"/>
          </w:tcPr>
          <w:p>
            <w:pPr>
              <w:pStyle w:val="TableContents"/>
              <w:bidi w:val="0"/>
              <w:spacing w:before="0" w:after="283"/>
              <w:jc w:val="right"/>
              <w:rPr>
                <w:b/>
              </w:rPr>
            </w:pPr>
            <w:r>
              <w:rPr>
                <w:b/>
              </w:rPr>
              <w:t>21,758</w:t>
            </w:r>
          </w:p>
        </w:tc>
        <w:tc>
          <w:tcPr>
            <w:tcW w:w="276"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136" w:type="dxa"/>
            <w:tcBorders/>
            <w:vAlign w:val="bottom"/>
          </w:tcPr>
          <w:p>
            <w:pPr>
              <w:pStyle w:val="TableContents"/>
              <w:bidi w:val="0"/>
              <w:spacing w:before="0" w:after="283"/>
              <w:jc w:val="right"/>
              <w:rPr>
                <w:b/>
              </w:rPr>
            </w:pPr>
            <w:r>
              <w:rPr>
                <w:b/>
              </w:rPr>
              <w:t>(24,484</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57" w:type="dxa"/>
            <w:tcBorders/>
            <w:vAlign w:val="bottom"/>
          </w:tcPr>
          <w:p>
            <w:pPr>
              <w:pStyle w:val="TableContents"/>
              <w:bidi w:val="0"/>
              <w:spacing w:before="0" w:after="283"/>
              <w:jc w:val="right"/>
              <w:rPr>
                <w:b/>
              </w:rPr>
            </w:pPr>
            <w:r>
              <w:rPr>
                <w:b/>
              </w:rPr>
              <w:t>124,005</w:t>
            </w:r>
          </w:p>
        </w:tc>
        <w:tc>
          <w:tcPr>
            <w:tcW w:w="27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6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21.5</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21.0</w:t>
            </w:r>
          </w:p>
        </w:tc>
        <w:tc>
          <w:tcPr>
            <w:tcW w:w="276"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N/A</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17.9</w:t>
            </w:r>
          </w:p>
        </w:tc>
        <w:tc>
          <w:tcPr>
            <w:tcW w:w="276"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reconciles Adjusted net income (loss), Adjusted diluted EPS, Adjusted EBITDA, and Adjusted EBITDA margin to the most directly comparable GAAP financial measures. Adjusted net income (loss), Adjusted diluted EPS, Adjusted EBITDA, and Adjusted EBITDA margin exclude the impact of the Marcum Transaction and other significant non-operating related gains and losses that management does not consider on-going in nature. Please refer to the ‘Non-GAAP Financial Measures’ section for further management discussion.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 but are not limited to, certain consulting, technology, personnel, as well as other integration costs related to the Marcum Transaction.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included unusual and one-time legal and professional services costs associated with the Company’s pending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expense reported for the three months ended September 30, 2026 and 2025 excluded $3.1 million and $3.4 million, respectively, of stock-based compensation expense reported as “Integration costs related to acquisitions”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September 30, 2025, the Company recorded a $0.3 million adjustment to the accrued legal costs associated with the $12.5 million legal settlement when payments were made.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amounts relating to the impact of the previously disclosed ESPP correction.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expense reported for the three months ended September 30, 2026 and 2025 excluded $16 thousand and $0.2 million, respectively, of depreciation expense reported as “Integration costs related to acquisitions” above. The accelerated depreciation was associated with certain technology assets from the Marcum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GAAP RECONCILIATION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Net Income (Loss) and Diluted Earnings Per Share (“EPS”) to Adjusted Net Income (Loss), Adjusted Diluted EPS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and Adjusted EBITDA(1) </w:t>
      </w:r>
    </w:p>
    <w:p>
      <w:pPr>
        <w:pStyle w:val="TextBody"/>
        <w:bidi w:val="0"/>
        <w:spacing w:before="0" w:after="0"/>
        <w:jc w:val="center"/>
        <w:rPr>
          <w:rFonts w:ascii="Times New Roman" w:hAnsi="Times New Roman"/>
          <w:sz w:val="20"/>
        </w:rPr>
      </w:pPr>
      <w:r>
        <w:rPr>
          <w:rFonts w:ascii="Times New Roman" w:hAnsi="Times New Roman"/>
          <w:b/>
          <w:i/>
          <w:sz w:val="20"/>
        </w:rPr>
        <w:t>(Unaudited. Amounts in thousands, except per share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6"/>
        <w:gridCol w:w="182"/>
        <w:gridCol w:w="143"/>
        <w:gridCol w:w="831"/>
        <w:gridCol w:w="328"/>
        <w:gridCol w:w="124"/>
        <w:gridCol w:w="218"/>
        <w:gridCol w:w="1084"/>
        <w:gridCol w:w="328"/>
        <w:gridCol w:w="124"/>
        <w:gridCol w:w="184"/>
        <w:gridCol w:w="1196"/>
        <w:gridCol w:w="154"/>
        <w:gridCol w:w="124"/>
        <w:gridCol w:w="201"/>
        <w:gridCol w:w="1194"/>
        <w:gridCol w:w="328"/>
        <w:gridCol w:w="124"/>
        <w:gridCol w:w="140"/>
        <w:gridCol w:w="515"/>
        <w:gridCol w:w="167"/>
      </w:tblGrid>
      <w:tr>
        <w:trPr/>
        <w:tc>
          <w:tcPr>
            <w:tcW w:w="251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3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2026</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399,407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57,533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(238,313</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218,627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3.62</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21,395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34,572</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55,991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0.93</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51,396</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3,844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55,240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0.92</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acquisition related adjustment, net(3)</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(57,955</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(57,955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(0.96</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Corporate projects related costs(4)</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110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190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5,193</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5,493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0.09</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and related costs(5)</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7,200</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7,200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0.12</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compensation(6)</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2,605</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10,152</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12,757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0.21</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ESPP correction expense (7)</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7,404</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7,404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0.12</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(24,564</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(24,564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(0.41</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474,913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61,591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(256,311</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280,193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4.64</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72,237</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72,237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87,228</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87,228</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24,564</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24,564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(8)</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9,424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1,475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4,224</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15,123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484,337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63,066</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96" w:type="dxa"/>
            <w:tcBorders/>
            <w:vAlign w:val="bottom"/>
          </w:tcPr>
          <w:p>
            <w:pPr>
              <w:pStyle w:val="TableContents"/>
              <w:bidi w:val="0"/>
              <w:spacing w:before="0" w:after="283"/>
              <w:jc w:val="right"/>
              <w:rPr>
                <w:b/>
              </w:rPr>
            </w:pPr>
            <w:r>
              <w:rPr>
                <w:b/>
              </w:rPr>
              <w:t>(68,058</w:t>
            </w:r>
          </w:p>
        </w:tc>
        <w:tc>
          <w:tcPr>
            <w:tcW w:w="154"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94" w:type="dxa"/>
            <w:tcBorders/>
            <w:vAlign w:val="bottom"/>
          </w:tcPr>
          <w:p>
            <w:pPr>
              <w:pStyle w:val="TableContents"/>
              <w:bidi w:val="0"/>
              <w:spacing w:before="0" w:after="283"/>
              <w:jc w:val="right"/>
              <w:rPr>
                <w:b/>
              </w:rPr>
            </w:pPr>
            <w:r>
              <w:rPr>
                <w:b/>
              </w:rPr>
              <w:t>479,345</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25.2</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20.0</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N/A</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b/>
              </w:rPr>
            </w:pPr>
            <w:r>
              <w:rPr>
                <w:b/>
              </w:rPr>
              <w:t>21.5</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6"/>
        <w:gridCol w:w="182"/>
        <w:gridCol w:w="143"/>
        <w:gridCol w:w="831"/>
        <w:gridCol w:w="328"/>
        <w:gridCol w:w="124"/>
        <w:gridCol w:w="218"/>
        <w:gridCol w:w="1084"/>
        <w:gridCol w:w="328"/>
        <w:gridCol w:w="124"/>
        <w:gridCol w:w="184"/>
        <w:gridCol w:w="1196"/>
        <w:gridCol w:w="154"/>
        <w:gridCol w:w="124"/>
        <w:gridCol w:w="201"/>
        <w:gridCol w:w="1194"/>
        <w:gridCol w:w="328"/>
        <w:gridCol w:w="124"/>
        <w:gridCol w:w="140"/>
        <w:gridCol w:w="515"/>
        <w:gridCol w:w="167"/>
      </w:tblGrid>
      <w:tr>
        <w:trPr/>
        <w:tc>
          <w:tcPr>
            <w:tcW w:w="251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3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2025</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387,477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65,260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(257,876</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194,861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3.06</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17,840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609</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45,045</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63,494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1.00</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51,071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5,133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56,204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0.88</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Legal settlement and related costs(5) </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(11,356</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(11,356</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(0.18</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compensation(6)</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9,530</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9,530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0.15</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operations, net</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(1,124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(1,124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(0.02</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(32,830</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(32,830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(0.51</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455,264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71,002</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(247,487</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278,779</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4.38</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80,983</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80,983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76,234</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76,234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32,830</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32,830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Depreciation(8)</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11,364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1,608</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3,329</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16,301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466,628</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72,610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96" w:type="dxa"/>
            <w:tcBorders/>
            <w:vAlign w:val="bottom"/>
          </w:tcPr>
          <w:p>
            <w:pPr>
              <w:pStyle w:val="TableContents"/>
              <w:bidi w:val="0"/>
              <w:spacing w:before="0" w:after="283"/>
              <w:jc w:val="right"/>
              <w:rPr>
                <w:b/>
              </w:rPr>
            </w:pPr>
            <w:r>
              <w:rPr>
                <w:b/>
              </w:rPr>
              <w:t>(54,111</w:t>
            </w:r>
          </w:p>
        </w:tc>
        <w:tc>
          <w:tcPr>
            <w:tcW w:w="154"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94" w:type="dxa"/>
            <w:tcBorders/>
            <w:vAlign w:val="bottom"/>
          </w:tcPr>
          <w:p>
            <w:pPr>
              <w:pStyle w:val="TableContents"/>
              <w:bidi w:val="0"/>
              <w:spacing w:before="0" w:after="283"/>
              <w:jc w:val="right"/>
              <w:rPr>
                <w:b/>
              </w:rPr>
            </w:pPr>
            <w:r>
              <w:rPr>
                <w:b/>
              </w:rPr>
              <w:t>485,127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24.6</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22.8</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N/A</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b/>
              </w:rPr>
            </w:pPr>
            <w:r>
              <w:rPr>
                <w:b/>
              </w:rPr>
              <w:t>21.9</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reconciles Adjusted net income (loss), Adjusted diluted EPS, Adjusted EBITDA, and Adjusted EBITDA margin to the most directly comparable GAAP financial measures. Adjusted net income (loss), Adjusted diluted EPS, Adjusted EBITDA, and Adjusted EBITDA margin exclude the impact of the Marcum Transaction and other significant non-operating related gains and losses that management does not consider on-going in nature. Please refer to the ‘Non-GAAP Financial Measures’ section for further management discussion.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 but are not limited to, certain consulting, technology, personnel, as well as other integration costs related to the Marcum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related the finalization of working capital and related purchase price adjustments associated with the Marcum Transaction.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included unusual and one-time legal and professional services costs associated with the Company’s pending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nine months ended September 30, 2026, the Company recorded an estimated loss of $7.2 million associated with a legal matter which the Company plans to settle. During the nine months ended September 30, 2025, the Company recorded a gain of $12.5 million related to a legal settlement payment from a small group of former employees. The settlement loss and gain were recorded in “other income (expense), net” on the consolidated statement of comprehensive income. The costs associated with this litigation were $1.1 million for the nine months ended September 30, 2025 and were recorded in “Corporate general and administrative expenses” on the consolidated statement of comprehensive income.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expense reported for the nine months ended September 30, 2026 and 2025 excluded $9.4 million and $6.7 million, respectively, of stock-based compensation expense reported as “Integration costs related to acquisitions”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amounts relating to the impact of the previously disclosed ESPP correction.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expense reported for the nine months ended September 30, 2026 and 2025 excluded $48 thousand and $1.8 million, respectively, of depreciation expense reported as “Integration costs related to acquisitions” above. The accelerated depreciation was associated with certain technology assets from the Marcum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p>
    <w:p>
      <w:pPr>
        <w:pStyle w:val="TextBody"/>
        <w:bidi w:val="0"/>
        <w:spacing w:before="240" w:after="0"/>
        <w:jc w:val="center"/>
        <w:rPr>
          <w:rFonts w:ascii="Times New Roman" w:hAnsi="Times New Roman"/>
          <w:b/>
          <w:sz w:val="20"/>
        </w:rPr>
      </w:pPr>
      <w:r>
        <w:rPr>
          <w:rFonts w:ascii="Times New Roman" w:hAnsi="Times New Roman"/>
          <w:b/>
          <w:sz w:val="20"/>
        </w:rPr>
        <w:t xml:space="preserve">NYSE: CBZ  www.CBIZ.com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6381</Words>
  <Characters>35556</Characters>
  <CharactersWithSpaces>43870</CharactersWithSpaces>
  <Paragraphs>3919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