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May 14, 2026</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145415</wp:posOffset>
            </wp:positionV>
            <wp:extent cx="2082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CBIZ,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86360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37"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gridSpan w:val="2"/>
          </w:tcPr>
          <w:p>
            <w:pPr>
              <w:jc w:val="center"/>
              <w:ind w:left="659"/>
              <w:spacing w:after="0"/>
              <w:rPr>
                <w:sz w:val="20"/>
                <w:szCs w:val="20"/>
                <w:color w:val="auto"/>
              </w:rPr>
            </w:pPr>
            <w:r>
              <w:rPr>
                <w:rFonts w:ascii="Times New Roman" w:cs="Times New Roman" w:eastAsia="Times New Roman" w:hAnsi="Times New Roman"/>
                <w:sz w:val="18"/>
                <w:szCs w:val="18"/>
                <w:b w:val="1"/>
                <w:bCs w:val="1"/>
                <w:color w:val="auto"/>
                <w:w w:val="99"/>
              </w:rPr>
              <w:t>1-32961</w:t>
            </w:r>
          </w:p>
        </w:tc>
        <w:tc>
          <w:tcPr>
            <w:tcW w:w="880" w:type="dxa"/>
            <w:vAlign w:val="bottom"/>
          </w:tcPr>
          <w:p>
            <w:pPr>
              <w:spacing w:after="0"/>
              <w:rPr>
                <w:sz w:val="19"/>
                <w:szCs w:val="19"/>
                <w:color w:val="auto"/>
              </w:rPr>
            </w:pP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22-2769024</w:t>
            </w:r>
          </w:p>
        </w:tc>
      </w:tr>
      <w:tr>
        <w:trPr>
          <w:trHeight w:val="148"/>
        </w:trPr>
        <w:tc>
          <w:tcPr>
            <w:tcW w:w="2160" w:type="dxa"/>
            <w:vAlign w:val="bottom"/>
          </w:tcPr>
          <w:p>
            <w:pPr>
              <w:jc w:val="center"/>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20" w:type="dxa"/>
            <w:vAlign w:val="bottom"/>
          </w:tcPr>
          <w:p>
            <w:pPr>
              <w:spacing w:after="0"/>
              <w:rPr>
                <w:sz w:val="12"/>
                <w:szCs w:val="12"/>
                <w:color w:val="auto"/>
              </w:rPr>
            </w:pPr>
          </w:p>
        </w:tc>
        <w:tc>
          <w:tcPr>
            <w:tcW w:w="41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20" w:type="dxa"/>
            <w:vAlign w:val="bottom"/>
          </w:tcPr>
          <w:p>
            <w:pPr>
              <w:spacing w:after="0"/>
              <w:rPr>
                <w:sz w:val="16"/>
                <w:szCs w:val="16"/>
                <w:color w:val="auto"/>
              </w:rPr>
            </w:pP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5959 Rockside Woods Blvd. N., Suite 600</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Independence, Ohio 44131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100" w:type="dxa"/>
            <w:vAlign w:val="bottom"/>
            <w:gridSpan w:val="2"/>
          </w:tcPr>
          <w:p>
            <w:pPr>
              <w:jc w:val="center"/>
              <w:ind w:left="719"/>
              <w:spacing w:after="0"/>
              <w:rPr>
                <w:sz w:val="20"/>
                <w:szCs w:val="20"/>
                <w:color w:val="auto"/>
              </w:rPr>
            </w:pPr>
            <w:r>
              <w:rPr>
                <w:rFonts w:ascii="Times New Roman" w:cs="Times New Roman" w:eastAsia="Times New Roman" w:hAnsi="Times New Roman"/>
                <w:sz w:val="18"/>
                <w:szCs w:val="18"/>
                <w:b w:val="1"/>
                <w:bCs w:val="1"/>
                <w:color w:val="auto"/>
                <w:w w:val="99"/>
              </w:rPr>
              <w:t>216-447-9000</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09"/>
        </w:trPr>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r>
        <w:trPr>
          <w:trHeight w:val="199"/>
        </w:trPr>
        <w:tc>
          <w:tcPr>
            <w:tcW w:w="2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0" w:lineRule="exact"/>
        <w:rPr>
          <w:sz w:val="24"/>
          <w:szCs w:val="24"/>
          <w:color w:val="auto"/>
        </w:rPr>
      </w:pPr>
    </w:p>
    <w:p>
      <w:pPr>
        <w:spacing w:after="0" w:line="22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40" w:firstLine="8"/>
        <w:spacing w:after="0" w:line="426"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8"/>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per value $0.01 per share</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CBZ</w:t>
            </w:r>
          </w:p>
        </w:tc>
        <w:tc>
          <w:tcPr>
            <w:tcW w:w="8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22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71"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of stockholders of CBIZ, Inc. (the "Company") was held on May 14, 2026. The following matters were voted on at the annual meeting:</w:t>
      </w:r>
    </w:p>
    <w:p>
      <w:pPr>
        <w:spacing w:after="0" w:line="11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following nominees as directors. The results of the vote taken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326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For</w:t>
            </w:r>
          </w:p>
        </w:tc>
        <w:tc>
          <w:tcPr>
            <w:tcW w:w="15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3"/>
        </w:trPr>
        <w:tc>
          <w:tcPr>
            <w:tcW w:w="3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T. Marabito</w:t>
            </w:r>
          </w:p>
        </w:tc>
        <w:tc>
          <w:tcPr>
            <w:tcW w:w="32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38,239,045</w:t>
            </w:r>
          </w:p>
        </w:tc>
        <w:tc>
          <w:tcPr>
            <w:tcW w:w="15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3,032,215</w:t>
            </w: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29,733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5,909,457</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Rodney A. Young</w:t>
            </w:r>
          </w:p>
        </w:tc>
        <w:tc>
          <w:tcPr>
            <w:tcW w:w="32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38,477,074</w:t>
            </w: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2,653,266</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170,653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5,909,457</w:t>
            </w:r>
          </w:p>
        </w:tc>
      </w:tr>
    </w:tbl>
    <w:p>
      <w:pPr>
        <w:spacing w:after="0" w:line="166" w:lineRule="exact"/>
        <w:rPr>
          <w:sz w:val="20"/>
          <w:szCs w:val="20"/>
          <w:color w:val="auto"/>
        </w:rPr>
      </w:pPr>
    </w:p>
    <w:p>
      <w:pPr>
        <w:ind w:left="340" w:right="38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selection of KPMG LLP by the Audit Committee of the Board of Directors as the Company’s independent registered public accounting firm for the year ending December 31, 2026. The results of the vote taken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45,982,194</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1,129,651</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98,605</w:t>
            </w:r>
          </w:p>
        </w:tc>
      </w:tr>
    </w:tbl>
    <w:p>
      <w:pPr>
        <w:spacing w:after="0" w:line="184" w:lineRule="exact"/>
        <w:rPr>
          <w:sz w:val="20"/>
          <w:szCs w:val="20"/>
          <w:color w:val="auto"/>
        </w:rPr>
      </w:pPr>
    </w:p>
    <w:p>
      <w:pPr>
        <w:ind w:left="340" w:right="5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an advisory basis, the compensation of the Company’s Named Executive Officers as disclosed in the 2026 proxy statement. The results of the vote taken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39,871,104</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1,406,070</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 Votes</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5,909,457</w:t>
            </w:r>
          </w:p>
        </w:tc>
      </w:tr>
      <w:tr>
        <w:trPr>
          <w:trHeight w:val="1433"/>
        </w:trPr>
        <w:tc>
          <w:tcPr>
            <w:tcW w:w="58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CBIZ, Inc.</w:t>
            </w:r>
          </w:p>
        </w:tc>
        <w:tc>
          <w:tcPr>
            <w:tcW w:w="4420" w:type="dxa"/>
            <w:vAlign w:val="bottom"/>
          </w:tcPr>
          <w:p>
            <w:pPr>
              <w:spacing w:after="0"/>
              <w:rPr>
                <w:sz w:val="20"/>
                <w:szCs w:val="20"/>
                <w:color w:val="auto"/>
              </w:rPr>
            </w:pPr>
          </w:p>
        </w:tc>
      </w:tr>
      <w:tr>
        <w:trPr>
          <w:trHeight w:val="49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Jaileah X. Huddleston</w:t>
            </w:r>
          </w:p>
        </w:tc>
      </w:tr>
      <w:tr>
        <w:trPr>
          <w:trHeight w:val="21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Jaileah X. Huddleston</w:t>
            </w:r>
          </w:p>
        </w:tc>
      </w:tr>
      <w:tr>
        <w:trPr>
          <w:trHeight w:val="180"/>
        </w:trPr>
        <w:tc>
          <w:tcPr>
            <w:tcW w:w="1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Chief Legal Officer, and Corporate</w:t>
            </w:r>
          </w:p>
        </w:tc>
      </w:tr>
      <w:tr>
        <w:trPr>
          <w:trHeight w:val="234"/>
        </w:trPr>
        <w:tc>
          <w:tcPr>
            <w:tcW w:w="12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2026-05-15T16:28:17Z</dcterms:created>
  <dcterms:modified xsi:type="dcterms:W3CDTF">2026-05-15T16:28:17Z</dcterms:modified>
</cp:coreProperties>
</file>