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073ddefa14a.htm"/>
      <w:bookmarkStart w:id="1" w:name="ksd13707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
        <w:gridCol w:w="122"/>
        <w:gridCol w:w="9842"/>
      </w:tblGrid>
      <w:tr>
        <w:trPr/>
        <w:tc>
          <w:tcPr>
            <w:tcW w:w="24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842" w:type="dxa"/>
            <w:tcBorders/>
            <w:vAlign w:val="center"/>
          </w:tcPr>
          <w:p>
            <w:pPr>
              <w:pStyle w:val="TableContents"/>
              <w:bidi w:val="0"/>
              <w:spacing w:before="0" w:after="283"/>
              <w:jc w:val="left"/>
              <w:rPr>
                <w:sz w:val="4"/>
                <w:szCs w:val="4"/>
              </w:rPr>
            </w:pPr>
            <w:r>
              <w:rPr>
                <w:sz w:val="4"/>
                <w:szCs w:val="4"/>
              </w:rPr>
            </w:r>
          </w:p>
        </w:tc>
      </w:tr>
      <w:tr>
        <w:trPr/>
        <w:tc>
          <w:tcPr>
            <w:tcW w:w="241"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842" w:type="dxa"/>
            <w:tcBorders/>
          </w:tcPr>
          <w:p>
            <w:pPr>
              <w:pStyle w:val="TableContents"/>
              <w:bidi w:val="0"/>
              <w:spacing w:before="0" w:after="283"/>
              <w:jc w:val="left"/>
              <w:rPr/>
            </w:pPr>
            <w:r>
              <w:rPr/>
              <w:t>Preliminary Proxy Statement</w:t>
            </w:r>
          </w:p>
        </w:tc>
      </w:tr>
      <w:tr>
        <w:trPr>
          <w:trHeight w:val="240" w:hRule="atLeast"/>
        </w:trPr>
        <w:tc>
          <w:tcPr>
            <w:tcW w:w="241" w:type="dxa"/>
            <w:tcBorders/>
            <w:vAlign w:val="center"/>
          </w:tcPr>
          <w:p>
            <w:pPr>
              <w:pStyle w:val="TableContents"/>
              <w:bidi w:val="0"/>
              <w:spacing w:before="0" w:after="283"/>
              <w:jc w:val="left"/>
              <w:rPr>
                <w:sz w:val="4"/>
                <w:szCs w:val="4"/>
              </w:rPr>
            </w:pPr>
            <w:r>
              <w:rPr>
                <w:sz w:val="4"/>
                <w:szCs w:val="4"/>
              </w:rPr>
            </w:r>
          </w:p>
        </w:tc>
        <w:tc>
          <w:tcPr>
            <w:tcW w:w="9964" w:type="dxa"/>
            <w:gridSpan w:val="2"/>
            <w:tcBorders/>
            <w:vAlign w:val="center"/>
          </w:tcPr>
          <w:p>
            <w:pPr>
              <w:pStyle w:val="TableContents"/>
              <w:bidi w:val="0"/>
              <w:spacing w:before="0" w:after="283"/>
              <w:jc w:val="left"/>
              <w:rPr>
                <w:sz w:val="4"/>
                <w:szCs w:val="4"/>
              </w:rPr>
            </w:pPr>
            <w:r>
              <w:rPr>
                <w:sz w:val="4"/>
                <w:szCs w:val="4"/>
              </w:rPr>
            </w:r>
          </w:p>
        </w:tc>
      </w:tr>
      <w:tr>
        <w:trPr/>
        <w:tc>
          <w:tcPr>
            <w:tcW w:w="241"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842" w:type="dxa"/>
            <w:tcBorders/>
          </w:tcPr>
          <w:p>
            <w:pPr>
              <w:pStyle w:val="TableContents"/>
              <w:bidi w:val="0"/>
              <w:spacing w:before="0" w:after="283"/>
              <w:jc w:val="left"/>
              <w:rPr>
                <w:b/>
              </w:rPr>
            </w:pPr>
            <w:r>
              <w:rPr>
                <w:b/>
              </w:rPr>
              <w:t>Confidential, for Use of the Commission Only (as permitted by Rule 14a-6(e)(2))</w:t>
            </w:r>
          </w:p>
        </w:tc>
      </w:tr>
      <w:tr>
        <w:trPr>
          <w:trHeight w:val="240" w:hRule="atLeast"/>
        </w:trPr>
        <w:tc>
          <w:tcPr>
            <w:tcW w:w="241" w:type="dxa"/>
            <w:tcBorders/>
            <w:vAlign w:val="center"/>
          </w:tcPr>
          <w:p>
            <w:pPr>
              <w:pStyle w:val="TableContents"/>
              <w:bidi w:val="0"/>
              <w:spacing w:before="0" w:after="283"/>
              <w:jc w:val="left"/>
              <w:rPr>
                <w:sz w:val="4"/>
                <w:szCs w:val="4"/>
              </w:rPr>
            </w:pPr>
            <w:r>
              <w:rPr>
                <w:sz w:val="4"/>
                <w:szCs w:val="4"/>
              </w:rPr>
            </w:r>
          </w:p>
        </w:tc>
        <w:tc>
          <w:tcPr>
            <w:tcW w:w="9964" w:type="dxa"/>
            <w:gridSpan w:val="2"/>
            <w:tcBorders/>
            <w:vAlign w:val="center"/>
          </w:tcPr>
          <w:p>
            <w:pPr>
              <w:pStyle w:val="TableContents"/>
              <w:bidi w:val="0"/>
              <w:spacing w:before="0" w:after="283"/>
              <w:jc w:val="left"/>
              <w:rPr>
                <w:sz w:val="4"/>
                <w:szCs w:val="4"/>
              </w:rPr>
            </w:pPr>
            <w:r>
              <w:rPr>
                <w:sz w:val="4"/>
                <w:szCs w:val="4"/>
              </w:rPr>
            </w:r>
          </w:p>
        </w:tc>
      </w:tr>
      <w:tr>
        <w:trPr/>
        <w:tc>
          <w:tcPr>
            <w:tcW w:w="241"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842" w:type="dxa"/>
            <w:tcBorders/>
          </w:tcPr>
          <w:p>
            <w:pPr>
              <w:pStyle w:val="TableContents"/>
              <w:bidi w:val="0"/>
              <w:spacing w:before="0" w:after="283"/>
              <w:jc w:val="left"/>
              <w:rPr/>
            </w:pPr>
            <w:r>
              <w:rPr/>
              <w:t>Definitive Proxy Statement</w:t>
            </w:r>
          </w:p>
        </w:tc>
      </w:tr>
      <w:tr>
        <w:trPr>
          <w:trHeight w:val="240" w:hRule="atLeast"/>
        </w:trPr>
        <w:tc>
          <w:tcPr>
            <w:tcW w:w="241" w:type="dxa"/>
            <w:tcBorders/>
            <w:vAlign w:val="center"/>
          </w:tcPr>
          <w:p>
            <w:pPr>
              <w:pStyle w:val="TableContents"/>
              <w:bidi w:val="0"/>
              <w:spacing w:before="0" w:after="283"/>
              <w:jc w:val="left"/>
              <w:rPr>
                <w:sz w:val="4"/>
                <w:szCs w:val="4"/>
              </w:rPr>
            </w:pPr>
            <w:r>
              <w:rPr>
                <w:sz w:val="4"/>
                <w:szCs w:val="4"/>
              </w:rPr>
            </w:r>
          </w:p>
        </w:tc>
        <w:tc>
          <w:tcPr>
            <w:tcW w:w="9964" w:type="dxa"/>
            <w:gridSpan w:val="2"/>
            <w:tcBorders/>
            <w:vAlign w:val="center"/>
          </w:tcPr>
          <w:p>
            <w:pPr>
              <w:pStyle w:val="TableContents"/>
              <w:bidi w:val="0"/>
              <w:spacing w:before="0" w:after="283"/>
              <w:jc w:val="left"/>
              <w:rPr>
                <w:sz w:val="4"/>
                <w:szCs w:val="4"/>
              </w:rPr>
            </w:pPr>
            <w:r>
              <w:rPr>
                <w:sz w:val="4"/>
                <w:szCs w:val="4"/>
              </w:rPr>
            </w:r>
          </w:p>
        </w:tc>
      </w:tr>
      <w:tr>
        <w:trPr/>
        <w:tc>
          <w:tcPr>
            <w:tcW w:w="241"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842" w:type="dxa"/>
            <w:tcBorders/>
          </w:tcPr>
          <w:p>
            <w:pPr>
              <w:pStyle w:val="TableContents"/>
              <w:bidi w:val="0"/>
              <w:spacing w:before="0" w:after="283"/>
              <w:jc w:val="left"/>
              <w:rPr/>
            </w:pPr>
            <w:r>
              <w:rPr/>
              <w:t>Definitive Additional Materials</w:t>
            </w:r>
          </w:p>
        </w:tc>
      </w:tr>
      <w:tr>
        <w:trPr>
          <w:trHeight w:val="240" w:hRule="atLeast"/>
        </w:trPr>
        <w:tc>
          <w:tcPr>
            <w:tcW w:w="241" w:type="dxa"/>
            <w:tcBorders/>
            <w:vAlign w:val="center"/>
          </w:tcPr>
          <w:p>
            <w:pPr>
              <w:pStyle w:val="TableContents"/>
              <w:bidi w:val="0"/>
              <w:spacing w:before="0" w:after="283"/>
              <w:jc w:val="left"/>
              <w:rPr>
                <w:sz w:val="4"/>
                <w:szCs w:val="4"/>
              </w:rPr>
            </w:pPr>
            <w:r>
              <w:rPr>
                <w:sz w:val="4"/>
                <w:szCs w:val="4"/>
              </w:rPr>
            </w:r>
          </w:p>
        </w:tc>
        <w:tc>
          <w:tcPr>
            <w:tcW w:w="9964" w:type="dxa"/>
            <w:gridSpan w:val="2"/>
            <w:tcBorders/>
            <w:vAlign w:val="center"/>
          </w:tcPr>
          <w:p>
            <w:pPr>
              <w:pStyle w:val="TableContents"/>
              <w:bidi w:val="0"/>
              <w:spacing w:before="0" w:after="283"/>
              <w:jc w:val="left"/>
              <w:rPr>
                <w:sz w:val="4"/>
                <w:szCs w:val="4"/>
              </w:rPr>
            </w:pPr>
            <w:r>
              <w:rPr>
                <w:sz w:val="4"/>
                <w:szCs w:val="4"/>
              </w:rPr>
            </w:r>
          </w:p>
        </w:tc>
      </w:tr>
      <w:tr>
        <w:trPr/>
        <w:tc>
          <w:tcPr>
            <w:tcW w:w="241"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842" w:type="dxa"/>
            <w:tcBorders/>
          </w:tcPr>
          <w:p>
            <w:pPr>
              <w:pStyle w:val="TableContents"/>
              <w:bidi w:val="0"/>
              <w:spacing w:before="0" w:after="283"/>
              <w:jc w:val="left"/>
              <w:rPr/>
            </w:pPr>
            <w:r>
              <w:rPr/>
              <w:t>Soliciting Material under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
        <w:gridCol w:w="120"/>
        <w:gridCol w:w="9847"/>
      </w:tblGrid>
      <w:tr>
        <w:trPr/>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tcPr>
          <w:p>
            <w:pPr>
              <w:pStyle w:val="TableContents"/>
              <w:bidi w:val="0"/>
              <w:spacing w:before="0" w:after="283"/>
              <w:jc w:val="left"/>
              <w:rPr/>
            </w:pPr>
            <w:r>
              <w:rPr/>
              <w:t>No fee required.</w:t>
            </w:r>
          </w:p>
        </w:tc>
      </w:tr>
      <w:tr>
        <w:trPr>
          <w:trHeight w:val="240"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tcPr>
          <w:p>
            <w:pPr>
              <w:pStyle w:val="TableContents"/>
              <w:bidi w:val="0"/>
              <w:spacing w:before="0" w:after="283"/>
              <w:jc w:val="left"/>
              <w:rPr/>
            </w:pPr>
            <w:r>
              <w:rPr/>
              <w:t>Fee paid previously with preliminary materials.</w:t>
            </w:r>
          </w:p>
        </w:tc>
      </w:tr>
      <w:tr>
        <w:trPr>
          <w:trHeight w:val="240"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847" w:type="dxa"/>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On July 30, 2026, the following email was sent by the Company to its clients: </w:t>
      </w:r>
    </w:p>
    <w:p>
      <w:pPr>
        <w:pStyle w:val="TextBody"/>
        <w:bidi w:val="0"/>
        <w:spacing w:before="120" w:after="0"/>
        <w:jc w:val="left"/>
        <w:rPr>
          <w:rFonts w:ascii="Times New Roman" w:hAnsi="Times New Roman"/>
          <w:sz w:val="20"/>
        </w:rPr>
      </w:pPr>
      <w:r>
        <w:rPr>
          <w:rFonts w:ascii="Times New Roman" w:hAnsi="Times New Roman"/>
          <w:sz w:val="20"/>
        </w:rPr>
        <w:t xml:space="preserve">Dear [Client], </w:t>
      </w:r>
    </w:p>
    <w:p>
      <w:pPr>
        <w:pStyle w:val="TextBody"/>
        <w:bidi w:val="0"/>
        <w:spacing w:before="240" w:after="0"/>
        <w:jc w:val="left"/>
        <w:rPr>
          <w:rFonts w:ascii="Times New Roman" w:hAnsi="Times New Roman"/>
          <w:sz w:val="20"/>
        </w:rPr>
      </w:pPr>
      <w:r>
        <w:rPr>
          <w:rFonts w:ascii="Times New Roman" w:hAnsi="Times New Roman"/>
          <w:sz w:val="20"/>
        </w:rPr>
        <w:t xml:space="preserve">As you may have seen, CBIZ has entered into a definitive agreement to be acquired by Grant Thornton Advisors. This is an exciting milestone for CBIZ, including for CBIZ Benefits &amp; Insurance Services, Inc. (“CBIZ B&amp;I”). As announced, following the close, CBIZ B&amp;I will be separated into a new stand-alone entity backed by New Mountain Capital. The separation will create a dedicated leader in insurance, retirement and payroll services while maintaining a strong focus on serving clients in those businesses.. </w:t>
      </w:r>
    </w:p>
    <w:p>
      <w:pPr>
        <w:pStyle w:val="TextBody"/>
        <w:bidi w:val="0"/>
        <w:spacing w:before="240" w:after="0"/>
        <w:jc w:val="left"/>
        <w:rPr>
          <w:rFonts w:ascii="Times New Roman" w:hAnsi="Times New Roman"/>
          <w:sz w:val="20"/>
        </w:rPr>
      </w:pPr>
      <w:r>
        <w:rPr>
          <w:rFonts w:ascii="Times New Roman" w:hAnsi="Times New Roman"/>
          <w:sz w:val="20"/>
        </w:rPr>
        <w:t xml:space="preserve">We are excited about what this means for our clients and for the future of our partnership. You can continue to expect the same high level of expertise, responsiveness, and partnership that you have come to rely on. </w:t>
      </w:r>
    </w:p>
    <w:p>
      <w:pPr>
        <w:pStyle w:val="TextBody"/>
        <w:bidi w:val="0"/>
        <w:spacing w:before="240" w:after="0"/>
        <w:jc w:val="left"/>
        <w:rPr>
          <w:rFonts w:ascii="Times New Roman" w:hAnsi="Times New Roman"/>
          <w:sz w:val="20"/>
        </w:rPr>
      </w:pPr>
      <w:r>
        <w:rPr>
          <w:rFonts w:ascii="Times New Roman" w:hAnsi="Times New Roman"/>
          <w:sz w:val="20"/>
        </w:rPr>
        <w:t xml:space="preserve">Your service and consulting team remains unchanged. The consultants, account managers, compliance specialists and subject matter experts who support your organization today will continue to do so. </w:t>
      </w:r>
    </w:p>
    <w:p>
      <w:pPr>
        <w:pStyle w:val="TextBody"/>
        <w:bidi w:val="0"/>
        <w:spacing w:before="240" w:after="0"/>
        <w:jc w:val="left"/>
        <w:rPr>
          <w:rFonts w:ascii="Times New Roman" w:hAnsi="Times New Roman"/>
          <w:sz w:val="20"/>
        </w:rPr>
      </w:pPr>
      <w:r>
        <w:rPr>
          <w:rFonts w:ascii="Times New Roman" w:hAnsi="Times New Roman"/>
          <w:sz w:val="20"/>
        </w:rPr>
        <w:t xml:space="preserve">We are proud of the relationships we have built with our clients, and we believe this next chapter positions us to serve you today and into the future. </w:t>
      </w:r>
    </w:p>
    <w:p>
      <w:pPr>
        <w:pStyle w:val="TextBody"/>
        <w:bidi w:val="0"/>
        <w:spacing w:before="240" w:after="0"/>
        <w:jc w:val="left"/>
        <w:rPr>
          <w:rFonts w:ascii="Times New Roman" w:hAnsi="Times New Roman"/>
          <w:sz w:val="20"/>
        </w:rPr>
      </w:pPr>
      <w:r>
        <w:rPr>
          <w:rFonts w:ascii="Times New Roman" w:hAnsi="Times New Roman"/>
          <w:sz w:val="20"/>
        </w:rPr>
        <w:t xml:space="preserve">I have included the CBIZ Press Release for your review.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https://ir.cbiz.com/news-releases/news-release-details/grant-thornton-advisors-acquire-cbiz-5-billion-transaction </w:t>
      </w:r>
    </w:p>
    <w:p>
      <w:pPr>
        <w:pStyle w:val="TextBody"/>
        <w:bidi w:val="0"/>
        <w:spacing w:before="240" w:after="0"/>
        <w:jc w:val="left"/>
        <w:rPr>
          <w:rFonts w:ascii="Times New Roman" w:hAnsi="Times New Roman"/>
          <w:sz w:val="20"/>
        </w:rPr>
      </w:pPr>
      <w:r>
        <w:rPr>
          <w:rFonts w:ascii="Times New Roman" w:hAnsi="Times New Roman"/>
          <w:sz w:val="20"/>
        </w:rPr>
        <w:t xml:space="preserve">Regards, </w:t>
      </w:r>
    </w:p>
    <w:p>
      <w:pPr>
        <w:pStyle w:val="TextBody"/>
        <w:bidi w:val="0"/>
        <w:spacing w:before="0" w:after="0"/>
        <w:jc w:val="left"/>
        <w:rPr>
          <w:rFonts w:ascii="Times New Roman" w:hAnsi="Times New Roman"/>
          <w:sz w:val="20"/>
        </w:rPr>
      </w:pPr>
      <w:r>
        <w:rPr>
          <w:rFonts w:ascii="Times New Roman" w:hAnsi="Times New Roman"/>
          <w:sz w:val="20"/>
        </w:rPr>
        <w:t xml:space="preserve">[name]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Inc. (“CBIZ”) and Grant Thornton Advisors LLC and certain affiliates of Grant Thornton Advisors LLC (together, “Grant Thornton,” and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CBIZ’s and Grant Thornton’s current expectations with respect to the transactions contemplated by the Merger Agreement and are subject to risks and uncertainties, which may cause actual results to differ materially from CBIZ’s and Grant Thornton’s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regimes; (12) changes in general economic, competitive, technological and/or industry-specific conditions affecting the businesses and industries in which CBIZ and Grant Thornton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and the solicitation of proxies for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w:t>
      </w:r>
      <w:r>
        <w:rPr>
          <w:rFonts w:ascii="Times New Roman" w:hAnsi="Times New Roman"/>
          <w:sz w:val="20"/>
          <w:u w:val="single"/>
        </w:rPr>
        <w:t>https://ir.cbiz.com/financial-information/sec-filings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1674</Words>
  <Characters>9712</Characters>
  <CharactersWithSpaces>11401</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