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0166d8k.htm"/>
      <w:bookmarkStart w:id="1" w:name="ksd12016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October 22,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CBIZ,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1-32961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22-2769024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5959 Rockside Woods Blvd. N., Suite 600</w:t>
      </w:r>
    </w:p>
    <w:p>
      <w:pPr>
        <w:pStyle w:val="TextBody"/>
        <w:bidi w:val="0"/>
        <w:spacing w:before="0" w:after="0"/>
        <w:jc w:val="center"/>
        <w:rPr>
          <w:rFonts w:ascii="Times New Roman" w:hAnsi="Times New Roman"/>
          <w:b/>
          <w:sz w:val="20"/>
        </w:rPr>
      </w:pPr>
      <w:r>
        <w:rPr>
          <w:rFonts w:ascii="Times New Roman" w:hAnsi="Times New Roman"/>
          <w:b/>
          <w:sz w:val="20"/>
        </w:rPr>
        <w:t>Independence, Ohio 44131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216-447-9000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45" w:type="dxa"/>
        <w:jc w:val="left"/>
        <w:tblInd w:w="0" w:type="dxa"/>
        <w:tblLayout w:type="fixed"/>
        <w:tblCellMar>
          <w:top w:w="0" w:type="dxa"/>
          <w:left w:w="0" w:type="dxa"/>
          <w:bottom w:w="0" w:type="dxa"/>
          <w:right w:w="0" w:type="dxa"/>
        </w:tblCellMar>
      </w:tblPr>
      <w:tblGrid>
        <w:gridCol w:w="4025"/>
        <w:gridCol w:w="60"/>
        <w:gridCol w:w="740"/>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CBZ</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Emerging growth company</w:t>
            </w:r>
          </w:p>
        </w:tc>
      </w:tr>
    </w:tbl>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05" w:type="dxa"/>
        <w:jc w:val="left"/>
        <w:tblInd w:w="0" w:type="dxa"/>
        <w:tblLayout w:type="fixed"/>
        <w:tblCellMar>
          <w:top w:w="0" w:type="dxa"/>
          <w:left w:w="0" w:type="dxa"/>
          <w:bottom w:w="0" w:type="dxa"/>
          <w:right w:w="0" w:type="dxa"/>
        </w:tblCellMar>
      </w:tblPr>
      <w:tblGrid>
        <w:gridCol w:w="1025"/>
        <w:gridCol w:w="3980"/>
      </w:tblGrid>
      <w:tr>
        <w:trPr/>
        <w:tc>
          <w:tcPr>
            <w:tcW w:w="1025" w:type="dxa"/>
            <w:tcBorders/>
            <w:vAlign w:val="center"/>
          </w:tcPr>
          <w:p>
            <w:pPr>
              <w:pStyle w:val="TableContents"/>
              <w:bidi w:val="0"/>
              <w:spacing w:before="0" w:after="283"/>
              <w:jc w:val="left"/>
              <w:rPr>
                <w:b/>
              </w:rPr>
            </w:pPr>
            <w:r>
              <w:rPr>
                <w:b/>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7.01 below is incorporated herein by reference. </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1025"/>
        <w:gridCol w:w="2240"/>
      </w:tblGrid>
      <w:tr>
        <w:trPr/>
        <w:tc>
          <w:tcPr>
            <w:tcW w:w="102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19, 2026, CBIZ, Inc. (“CBIZ”, the “Company”, “we”, “our” or “us”) furnished a Current Report on Form 8-K and issued a press release announcing the Company’s financial results for the three and nine months ended September 30, 2026 (collectively, the “Prior Form 8-K”). </w:t>
      </w:r>
    </w:p>
    <w:p>
      <w:pPr>
        <w:pStyle w:val="TextBody"/>
        <w:bidi w:val="0"/>
        <w:spacing w:before="240" w:after="0"/>
        <w:jc w:val="left"/>
        <w:rPr>
          <w:rFonts w:ascii="Times New Roman" w:hAnsi="Times New Roman"/>
          <w:sz w:val="20"/>
        </w:rPr>
      </w:pPr>
      <w:r>
        <w:rPr>
          <w:rFonts w:ascii="Times New Roman" w:hAnsi="Times New Roman"/>
          <w:sz w:val="20"/>
        </w:rPr>
        <w:t xml:space="preserve">As part of a potential debt financing transaction in connection with the previously announced pending acquisition of CBIZ by an affiliate of Grant Thornton in the U.S. (“Grant Thornton”), we anticipate disclosing to prospective debt investors the following information, which has not yet been publicly reported.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CBIZ’s on-going quarter-end closing procedures and financial review, CBIZ identified additional one-time legal expenses in the amount of approximately $15 million, which was not reflected in the Prior Form 8-K and which CBIZ intends to reflect in its quarterly report filed on Form 10-Q for the quarterly period ended September 30, 2026. CBIZ anticipates this additional expense will decrease net income by approximately $10.5 million (net of tax), but will not impact the disclosed Adjusted Net Income (Loss), Adjusted Diluted EPS or Adjusted EBITDA (as such additional expense amounts will be added back to net income (loss) as transactional and corporate project related legal and professional services costs). The information furnished in this Form 8-K is not complete and should be read only in conjunction with the information provided in the Prior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this Item 7.01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except as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within the meaning of Section 27A of the Securities Act, and Section 21E of the Exchange Act. All statements other than statements of historical fact included in this report, including, without limitation, statements about the reduction in force, are forward-looking statements. You can identify these statements by the fact that they do not relate strictly to historical or current facts. Forward-looking statements are commonly identified by the use of such terms and phrases as “will,” “could,” “can,” “may,” “strive,” “hope,” “intend,” “believe,” “estimate,” “continue,” “plan,” “expect,” “project,” “anticipate,” “outlook,” “foreseeable future,” “seek” and words or phrases of similar import in connection with any discussion of future operating or financial performance. In particular, these include statements relating to future actions, future performance or results of current and anticipated services, sales efforts, expenses, and financial results.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time to time, we may also provide oral or written forward-looking statements in other materials we release to the public. Any or all of our forward-looking statements in this report and in any other public statements that we make are subject to certain risks and uncertainties that could cause actual results to differ materially from those projected. Such risks and uncertainties include, but are not limited to: that one or more closing conditions to the proposed transaction with an affiliate of Grant Thornton in the U.S. (the “proposed transaction”), including certain regulatory approvals, may not be satisfied or waived, on a timely basis or otherwise, or that the required approval by the shareholders of CBIZ may not be obtained; the risk that the proposed transaction may not be completed on the terms or in the time frame expected by CBIZ and Grant Thornton, or at all; unexpected costs, charges or expenses resulting from the proposed transaction; uncertainty of the expected financial performance and results of operations of the combined company following completion of the proposed transaction; failure to realize the anticipated benefits of the proposed transaction, including as a result of delay in completing the proposed transaction or integrating the businesses of CBIZ and Grant Thornton, on the expected timeframe or at all; the ability of the combined company to implement its business strategy; difficulties and delays in the combined company achieving revenue and cost synergies; inability of the combined company to retain and hire key personnel; the occurrence of any event that could give rise to termination of the proposed transaction; the risk that shareholder litigation in connection with the proposed transaction or other litigation, settlements or investigations may affect the timing or completion of the proposed transaction or result in significant costs of defense, indemnification and liability; evolving legal, regulatory and tax regimes; changes in general economic, competitive, technological and/or industry-specific conditions affecting the businesses and industries in which CBIZ and Grant Thornton operate; actions by third parties, including government agencies and ratings agencies, relating to the proposed transaction; risks that any debt financing anticipated in connection with the proposed transaction is not obtained or that such financing cannot be obtained on the anticipated timing or terms or unexpected costs or expenses in connection therewith;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partners, or other counterparties; risks that any announcements relating to the proposed transaction could have adverse effects on the market price of CBIZ’s common stock, credit ratings, or operating results, and may have an adverse effect on the ability of CBIZ to retain and hire key personnel, retain customers, and maintain relationships with business partners, suppliers and customers; the risk that the market price of CBIZ’s common stock may decline if the proposed transaction is not completed; our ability to maintain effective internal control over financial reporting and disclosure controls and procedures, including ability to remediate our material weaknesses in our internal control over financial reporting; payments on accounts receivable may be slower than expected, or amounts due on receivables or notes may not be fully collectible; our business could be adversely affected if the non-attest business assets we acquired, or the attest assets CBIZ CPAs P.C. acquired, from Marcum LLP (“Marcum”) do not perform to our expectations or we underestimate the liabilities we have assumed; we are dependent on the services of our executive officers, and other key employees, the loss of any of whom may have a material adverse effect on our business, financial condition and results of operations; our profitability could suffer if we are not able to effectively utilize our employees, maintain operational efficiencies or manage our cost structure; restrictions imposed by independence requirements and conflict of interest rules, as well as the nature and terms of our current administrative service agreements,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limit our ability to provide services to clients of the attest firms with which we have contractual relationships and the ability of such attest firms to provide attestation services to our clients; our goodwill and other intangible assets could become impaired, which could lead to material non-cash charges against earnings and a material impact on our results of operations and financial condition; certain liabilities resulting from acquisitions are estimated and could lead to a material impact on our results of operations; we may fail to realize the anticipated benefits of acquisitions, or they may prove disruptive and could result in the combined business failing to meet our expectations; claims or adverse publicity could harm our brand, reputation and ability to compete and attract and retain clients, talent and future acquisition targets; we may not be able to acquire and finance additional businesses, which could limit our ability to pursue our business strategy; we will incur transaction, integration, and restructuring costs in connection with our acquisition program; governmental regulations and interpretations are subject to changes, which could have a material adverse effect on our financial condition; uncertainty in the current economic and geopolitical environment could lead to declines in demand for certain of our services; changes in the United States healthcare environment, including new healthcare legislation, may adversely affect the revenue and margins in our healthcare benefit business; we are subject to risks relating to processing customer transactions for our payroll and other transaction processing businesses; cyberattacks or other security breaches involving our computer systems or the systems of one or more of our vendors could materially and adversely affect our business; we are subject to risk as it relates to software that we license from third parties; we are reliant on information processing systems and any failure or disruptions of these systems could have a material adverse effect on our business, financial condition and results of operations; we could be held liable for errors and omissions; the business services industry is competitive and fragmented, if we are unable to compete effectively, our business, financial condition and results of operations could be negatively impacted; failure to maintain our reputation and brand could impact our ability to attract and retain clients, employees and future acquisition targets, and may have a material adverse effect on our business, financial condition and results of operations; we are dependent on our existing client base and our ability to retain and expand our relationships with those clients; our clients may terminate our engagements with little or no notice and without penalty, which may result in unexpected declines in our revenue or unexpected costs; given our levels of share-based compensation, our tax rate may vary significantly depending on our stock price; we may be subject to the actions of activist stockholders; rapid technological changes could significantly impact our competitive position, client relationships and operating results and our ability to realize the anticipated benefits of our acquisition of the non-attest business assets and liabilities of Marcum and CBIZ CPAs P.C.’s purchase of substantially all of Marcum’s attest business assets (the “Marcum Transaction”); the widespread outbreak of a communicable illness or any other public health crisis could adversely affect our business, financial condition and results of operations; we require a significant amount of cash for interest payments on our debt and to expand our business as planned; terms of our amended and restated credit agreement providing for $2.0 billion in senior secured credit facilities, consisting of a $1.4 billion term loan and $600 million revolving credit facility, could adversely affect our ability to run our business and/or reduce stockholder returns; our failure to satisfy covenants in our debt instruments could cause a default under those instruments; our increased leverage following the Marcum Transaction may adversely impact our business; we may be more sensitive to revenue fluctuations than other companies, which could result in fluctuations in the market price of our common stock; the significant number of shares issuable as the stock consideration in the Marcum Transaction may adversely impact our stock price; the future issuance of additional shares could adversely affect the price of our common stock; and there is volatility in our stock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forward-looking statements can be affected by inaccurate assumptions we might make or by known or unknown risks and uncertainties. Should one or more of these risks materialize, or should the underlying assumptions prove incorrect, actual results may vary materially from those anticipated, estimated, projected or implied. Consequently, no forward-looking statement can be guaranteed. Our actual future results may vary materially. All forward looking statements made in this report are made only as of the date hereof, and we undertake no obligation to publicly update any forward-looking statements, whether as a result of new information, future events or otherwise, except as required by law. You are advised, however, to consult any further disclosures we make on related subjects in the current, quarterly, periodic and annual reports we file with the Securities and Exchange Commission. Also note that we provide a cautionary discussion of the risks, uncertainties and possibly inaccurate assumptions relevant to our businesses in “Item 1. Business” and “Item 1A. Risk Factors” in our Annual Report on Form 10-K for the year ended December 31, 2025, as amended. These are factors that we think could cause our actual results to differ materially from expected and historical results. Other factors besides those described here could also adversely affect our operating or financial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11" w:type="dxa"/>
        <w:jc w:val="left"/>
        <w:tblInd w:w="0" w:type="dxa"/>
        <w:tblLayout w:type="fixed"/>
        <w:tblCellMar>
          <w:top w:w="0" w:type="dxa"/>
          <w:left w:w="0" w:type="dxa"/>
          <w:bottom w:w="0" w:type="dxa"/>
          <w:right w:w="0" w:type="dxa"/>
        </w:tblCellMar>
      </w:tblPr>
      <w:tblGrid>
        <w:gridCol w:w="2390"/>
        <w:gridCol w:w="60"/>
        <w:gridCol w:w="23"/>
        <w:gridCol w:w="60"/>
        <w:gridCol w:w="633"/>
        <w:gridCol w:w="103"/>
        <w:gridCol w:w="2042"/>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Dated: October 22,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78" w:type="dxa"/>
            <w:gridSpan w:val="3"/>
            <w:tcBorders/>
            <w:vAlign w:val="center"/>
          </w:tcPr>
          <w:p>
            <w:pPr>
              <w:pStyle w:val="TableContents"/>
              <w:bidi w:val="0"/>
              <w:spacing w:before="0" w:after="283"/>
              <w:jc w:val="left"/>
              <w:rPr>
                <w:b/>
              </w:rPr>
            </w:pPr>
            <w:r>
              <w:rPr>
                <w:b/>
              </w:rPr>
              <w:t>CBIZ,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93" w:type="dxa"/>
            <w:gridSpan w:val="2"/>
            <w:tcBorders/>
            <w:vAlign w:val="center"/>
          </w:tcPr>
          <w:p>
            <w:pPr>
              <w:pStyle w:val="TableContents"/>
              <w:bidi w:val="0"/>
              <w:spacing w:before="0" w:after="283"/>
              <w:jc w:val="left"/>
              <w:rPr>
                <w:sz w:val="4"/>
                <w:szCs w:val="4"/>
              </w:rPr>
            </w:pPr>
            <w:r>
              <w:rPr>
                <w:sz w:val="4"/>
                <w:szCs w:val="4"/>
              </w:rPr>
            </w:r>
          </w:p>
        </w:tc>
        <w:tc>
          <w:tcPr>
            <w:tcW w:w="2145"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By:</w:t>
            </w:r>
          </w:p>
        </w:tc>
        <w:tc>
          <w:tcPr>
            <w:tcW w:w="103" w:type="dxa"/>
            <w:tcBorders/>
            <w:vAlign w:val="center"/>
          </w:tcPr>
          <w:p>
            <w:pPr>
              <w:pStyle w:val="TableContents"/>
              <w:bidi w:val="0"/>
              <w:spacing w:before="0" w:after="283"/>
              <w:jc w:val="left"/>
              <w:rPr/>
            </w:pPr>
            <w:r>
              <w:rPr/>
              <w:t> </w:t>
            </w:r>
          </w:p>
        </w:tc>
        <w:tc>
          <w:tcPr>
            <w:tcW w:w="2042"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Brad Lakia</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78" w:type="dxa"/>
            <w:gridSpan w:val="3"/>
            <w:tcBorders/>
            <w:vAlign w:val="center"/>
          </w:tcPr>
          <w:p>
            <w:pPr>
              <w:pStyle w:val="TableContents"/>
              <w:bidi w:val="0"/>
              <w:spacing w:before="0" w:after="283"/>
              <w:jc w:val="left"/>
              <w:rPr/>
            </w:pPr>
            <w:r>
              <w:rPr/>
              <w:t>Name: Brad Lakhia</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78" w:type="dxa"/>
            <w:gridSpan w:val="3"/>
            <w:tcBorders/>
            <w:vAlign w:val="center"/>
          </w:tcPr>
          <w:p>
            <w:pPr>
              <w:pStyle w:val="TableContents"/>
              <w:bidi w:val="0"/>
              <w:spacing w:before="0" w:after="283"/>
              <w:jc w:val="left"/>
              <w:rPr/>
            </w:pPr>
            <w:r>
              <w:rPr/>
              <w:t>Title: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2408</Words>
  <Characters>13490</Characters>
  <CharactersWithSpaces>15891</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