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transition period from________ to ________</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Commission File Number 1-32961</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CBIZ,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Delaware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or organization)</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5959 Rockside Woods, N. Suite 600 Independence, Ohio</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22-2769024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Identification No.)</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44131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(Zip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(216) 447-9000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347" w:type="dxa"/>
        <w:jc w:val="center"/>
        <w:tblInd w:w="0" w:type="dxa"/>
        <w:tblLayout w:type="fixed"/>
        <w:tblCellMar>
          <w:top w:w="28" w:type="dxa"/>
          <w:left w:w="28" w:type="dxa"/>
          <w:bottom w:w="28" w:type="dxa"/>
          <w:right w:w="28" w:type="dxa"/>
        </w:tblCellMar>
      </w:tblPr>
      <w:tblGrid>
        <w:gridCol w:w="901"/>
        <w:gridCol w:w="789"/>
        <w:gridCol w:w="799"/>
        <w:gridCol w:w="484"/>
        <w:gridCol w:w="484"/>
        <w:gridCol w:w="486"/>
        <w:gridCol w:w="995"/>
        <w:gridCol w:w="995"/>
        <w:gridCol w:w="141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4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CBZ</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the number of shares outstanding of each of the issuer’s classes of common stock, as of the latest practicable date:</w:t>
      </w:r>
    </w:p>
    <w:tbl>
      <w:tblPr>
        <w:tblW w:w="4693" w:type="dxa"/>
        <w:jc w:val="left"/>
        <w:tblInd w:w="0" w:type="dxa"/>
        <w:tblLayout w:type="fixed"/>
        <w:tblCellMar>
          <w:top w:w="28" w:type="dxa"/>
          <w:left w:w="28" w:type="dxa"/>
          <w:bottom w:w="28" w:type="dxa"/>
          <w:right w:w="28" w:type="dxa"/>
        </w:tblCellMar>
      </w:tblPr>
      <w:tblGrid>
        <w:gridCol w:w="891"/>
        <w:gridCol w:w="781"/>
        <w:gridCol w:w="787"/>
        <w:gridCol w:w="653"/>
        <w:gridCol w:w="653"/>
        <w:gridCol w:w="928"/>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Class of Common Stock</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Outstanding at July 27, 2026</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54,263,879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7"/>
        <w:gridCol w:w="252"/>
        <w:gridCol w:w="254"/>
        <w:gridCol w:w="362"/>
        <w:gridCol w:w="362"/>
        <w:gridCol w:w="362"/>
        <w:gridCol w:w="2663"/>
        <w:gridCol w:w="2559"/>
        <w:gridCol w:w="2500"/>
        <w:gridCol w:w="176"/>
        <w:gridCol w:w="176"/>
        <w:gridCol w:w="252"/>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0">
              <w:r>
                <w:rPr>
                  <w:rStyle w:val="InternetLink"/>
                  <w:rFonts w:ascii="Arial;sans-serif" w:hAnsi="Arial;sans-serif"/>
                  <w:b w:val="false"/>
                  <w:color w:val="0000FF"/>
                  <w:sz w:val="20"/>
                  <w:u w:val="single"/>
                </w:rPr>
                <w:t>PART I.</w:t>
              </w:r>
            </w:hyperlink>
          </w:p>
        </w:tc>
        <w:tc>
          <w:tcPr>
            <w:tcW w:w="88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0">
              <w:r>
                <w:rPr>
                  <w:rStyle w:val="InternetLink"/>
                  <w:rFonts w:ascii="Arial;sans-serif" w:hAnsi="Arial;sans-serif"/>
                  <w:b w:val="false"/>
                  <w:color w:val="0000FF"/>
                  <w:sz w:val="20"/>
                  <w:u w:val="single"/>
                </w:rPr>
                <w:t>FINANCIAL INFORMATION: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w:t>
            </w:r>
          </w:p>
        </w:tc>
      </w:tr>
      <w:tr>
        <w:trPr/>
        <w:tc>
          <w:tcPr>
            <w:tcW w:w="96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
              <w:r>
                <w:rPr>
                  <w:rStyle w:val="InternetLink"/>
                  <w:rFonts w:ascii="Arial;sans-serif" w:hAnsi="Arial;sans-serif"/>
                  <w:b w:val="false"/>
                  <w:color w:val="0000FF"/>
                  <w:sz w:val="20"/>
                  <w:u w:val="single"/>
                </w:rPr>
                <w:t>Item 1.</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
              <w:r>
                <w:rPr>
                  <w:rStyle w:val="InternetLink"/>
                  <w:rFonts w:ascii="Arial;sans-serif" w:hAnsi="Arial;sans-serif"/>
                  <w:b w:val="false"/>
                  <w:color w:val="0000FF"/>
                  <w:sz w:val="20"/>
                  <w:u w:val="single"/>
                </w:rPr>
                <w:t>Financial Statements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3">
              <w:r>
                <w:rPr>
                  <w:rStyle w:val="InternetLink"/>
                  <w:rFonts w:ascii="Arial;sans-serif" w:hAnsi="Arial;sans-serif"/>
                  <w:b w:val="false"/>
                  <w:color w:val="0000FF"/>
                  <w:sz w:val="20"/>
                  <w:u w:val="single"/>
                </w:rPr>
                <w:t>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d849c90e88a4280849a0a00a5b7ba54_16">
              <w:r>
                <w:rPr>
                  <w:rStyle w:val="InternetLink"/>
                  <w:rFonts w:ascii="Arial;sans-serif" w:hAnsi="Arial;sans-serif"/>
                  <w:b w:val="false"/>
                  <w:color w:val="0000FF"/>
                  <w:sz w:val="20"/>
                  <w:u w:val="single"/>
                </w:rPr>
                <w:t>Condensed Consolidated Balance Sheets (Unaudited) – June 30, 2026 and December 31, 2025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6">
              <w:r>
                <w:rPr>
                  <w:rStyle w:val="InternetLink"/>
                  <w:rFonts w:ascii="Arial;sans-serif" w:hAnsi="Arial;sans-serif"/>
                  <w:b w:val="false"/>
                  <w:color w:val="0000FF"/>
                  <w:sz w:val="20"/>
                  <w:u w:val="single"/>
                </w:rPr>
                <w:t>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d849c90e88a4280849a0a00a5b7ba54_19">
              <w:r>
                <w:rPr>
                  <w:rStyle w:val="InternetLink"/>
                  <w:rFonts w:ascii="Arial;sans-serif" w:hAnsi="Arial;sans-serif"/>
                  <w:b w:val="false"/>
                  <w:color w:val="0000FF"/>
                  <w:sz w:val="20"/>
                  <w:u w:val="single"/>
                </w:rPr>
                <w:t>Condensed Consolidated Statements of Comprehensive Income (Unaudited) – Three and Six Months Ended June 30, 2026 and 2025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9">
              <w:r>
                <w:rPr>
                  <w:rStyle w:val="InternetLink"/>
                  <w:rFonts w:ascii="Arial;sans-serif" w:hAnsi="Arial;sans-serif"/>
                  <w:b w:val="false"/>
                  <w:color w:val="0000FF"/>
                  <w:sz w:val="20"/>
                  <w:u w:val="single"/>
                </w:rPr>
                <w:t>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d849c90e88a4280849a0a00a5b7ba54_22">
              <w:r>
                <w:rPr>
                  <w:rStyle w:val="InternetLink"/>
                  <w:rFonts w:ascii="Arial;sans-serif" w:hAnsi="Arial;sans-serif"/>
                  <w:b w:val="false"/>
                  <w:color w:val="0000FF"/>
                  <w:sz w:val="20"/>
                  <w:u w:val="single"/>
                </w:rPr>
                <w:t>Condensed Consolidated Statements of Stockholders’ Equity (Unaudited) – Three and Six Months Ended June 30, 2026 and 2025 </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22">
              <w:r>
                <w:rPr>
                  <w:rStyle w:val="InternetLink"/>
                  <w:rFonts w:ascii="Arial;sans-serif" w:hAnsi="Arial;sans-serif"/>
                  <w:b w:val="false"/>
                  <w:color w:val="0000FF"/>
                  <w:sz w:val="20"/>
                  <w:u w:val="single"/>
                </w:rPr>
                <w:t>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d849c90e88a4280849a0a00a5b7ba54_25">
              <w:r>
                <w:rPr>
                  <w:rStyle w:val="InternetLink"/>
                  <w:rFonts w:ascii="Arial;sans-serif" w:hAnsi="Arial;sans-serif"/>
                  <w:b w:val="false"/>
                  <w:color w:val="0000FF"/>
                  <w:sz w:val="20"/>
                  <w:u w:val="single"/>
                </w:rPr>
                <w:t>Condensed Consolidated Statements of Cash Flows (Unaudited) – Six Months Ended June 30, 2026 and 2025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25">
              <w:r>
                <w:rPr>
                  <w:rStyle w:val="InternetLink"/>
                  <w:rFonts w:ascii="Arial;sans-serif" w:hAnsi="Arial;sans-serif"/>
                  <w:b w:val="false"/>
                  <w:color w:val="0000FF"/>
                  <w:sz w:val="20"/>
                  <w:u w:val="single"/>
                </w:rPr>
                <w:t>7</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28">
              <w:r>
                <w:rPr>
                  <w:rStyle w:val="InternetLink"/>
                  <w:rFonts w:ascii="Arial;sans-serif" w:hAnsi="Arial;sans-serif"/>
                  <w:b w:val="false"/>
                  <w:color w:val="0000FF"/>
                  <w:sz w:val="20"/>
                  <w:u w:val="single"/>
                </w:rPr>
                <w:t>Notes to the Condensed Consolidated Financial Statements (Unaudited)</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28">
              <w:r>
                <w:rPr>
                  <w:rStyle w:val="InternetLink"/>
                  <w:rFonts w:ascii="Arial;sans-serif" w:hAnsi="Arial;sans-serif"/>
                  <w:b w:val="false"/>
                  <w:color w:val="0000FF"/>
                  <w:sz w:val="20"/>
                  <w:u w:val="single"/>
                </w:rPr>
                <w:t>8</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85">
              <w:r>
                <w:rPr>
                  <w:rStyle w:val="InternetLink"/>
                  <w:rFonts w:ascii="Arial;sans-serif" w:hAnsi="Arial;sans-serif"/>
                  <w:b w:val="false"/>
                  <w:color w:val="0000FF"/>
                  <w:sz w:val="20"/>
                  <w:u w:val="single"/>
                </w:rPr>
                <w:t>Item 2.</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85">
              <w:r>
                <w:rPr>
                  <w:rStyle w:val="InternetLink"/>
                  <w:rFonts w:ascii="Arial;sans-serif" w:hAnsi="Arial;sans-serif"/>
                  <w:b w:val="false"/>
                  <w:color w:val="0000FF"/>
                  <w:sz w:val="20"/>
                  <w:u w:val="single"/>
                </w:rPr>
                <w:t>Management’s Discussion and Analysis of Financial Condition and Results of Operations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85">
              <w:r>
                <w:rPr>
                  <w:rStyle w:val="InternetLink"/>
                  <w:rFonts w:ascii="Arial;sans-serif" w:hAnsi="Arial;sans-serif"/>
                  <w:b w:val="false"/>
                  <w:color w:val="0000FF"/>
                  <w:sz w:val="20"/>
                  <w:u w:val="single"/>
                </w:rPr>
                <w:t>23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12">
              <w:r>
                <w:rPr>
                  <w:rStyle w:val="InternetLink"/>
                  <w:rFonts w:ascii="Arial;sans-serif" w:hAnsi="Arial;sans-serif"/>
                  <w:b w:val="false"/>
                  <w:color w:val="0000FF"/>
                  <w:sz w:val="20"/>
                  <w:u w:val="single"/>
                </w:rPr>
                <w:t>Item 3.</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12">
              <w:r>
                <w:rPr>
                  <w:rStyle w:val="InternetLink"/>
                  <w:rFonts w:ascii="Arial;sans-serif" w:hAnsi="Arial;sans-serif"/>
                  <w:b w:val="false"/>
                  <w:color w:val="0000FF"/>
                  <w:sz w:val="20"/>
                  <w:u w:val="single"/>
                </w:rPr>
                <w:t>Quantitative and Qualitative Disclosures About Market Risk</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12">
              <w:r>
                <w:rPr>
                  <w:rStyle w:val="InternetLink"/>
                  <w:rFonts w:ascii="Arial;sans-serif" w:hAnsi="Arial;sans-serif"/>
                  <w:b w:val="false"/>
                  <w:color w:val="0000FF"/>
                  <w:sz w:val="20"/>
                  <w:u w:val="single"/>
                </w:rPr>
                <w:t>40</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15">
              <w:r>
                <w:rPr>
                  <w:rStyle w:val="InternetLink"/>
                  <w:rFonts w:ascii="Arial;sans-serif" w:hAnsi="Arial;sans-serif"/>
                  <w:b w:val="false"/>
                  <w:color w:val="0000FF"/>
                  <w:sz w:val="20"/>
                  <w:u w:val="single"/>
                </w:rPr>
                <w:t>Item 4.</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15">
              <w:r>
                <w:rPr>
                  <w:rStyle w:val="InternetLink"/>
                  <w:rFonts w:ascii="Arial;sans-serif" w:hAnsi="Arial;sans-serif"/>
                  <w:b w:val="false"/>
                  <w:color w:val="0000FF"/>
                  <w:sz w:val="20"/>
                  <w:u w:val="single"/>
                </w:rPr>
                <w:t>Controls and Procedures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15">
              <w:r>
                <w:rPr>
                  <w:rStyle w:val="InternetLink"/>
                  <w:rFonts w:ascii="Arial;sans-serif" w:hAnsi="Arial;sans-serif"/>
                  <w:b w:val="false"/>
                  <w:color w:val="0000FF"/>
                  <w:sz w:val="20"/>
                  <w:u w:val="single"/>
                </w:rPr>
                <w:t>41</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18">
              <w:r>
                <w:rPr>
                  <w:rStyle w:val="InternetLink"/>
                  <w:rFonts w:ascii="Arial;sans-serif" w:hAnsi="Arial;sans-serif"/>
                  <w:b w:val="false"/>
                  <w:color w:val="0000FF"/>
                  <w:sz w:val="20"/>
                  <w:u w:val="single"/>
                </w:rPr>
                <w:t>PART II.</w:t>
              </w:r>
            </w:hyperlink>
          </w:p>
        </w:tc>
        <w:tc>
          <w:tcPr>
            <w:tcW w:w="88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18">
              <w:r>
                <w:rPr>
                  <w:rStyle w:val="InternetLink"/>
                  <w:rFonts w:ascii="Arial;sans-serif" w:hAnsi="Arial;sans-serif"/>
                  <w:b w:val="false"/>
                  <w:color w:val="0000FF"/>
                  <w:sz w:val="20"/>
                  <w:u w:val="single"/>
                </w:rPr>
                <w:t>OTHER INFORMATION:</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21">
              <w:r>
                <w:rPr>
                  <w:rStyle w:val="InternetLink"/>
                  <w:rFonts w:ascii="Arial;sans-serif" w:hAnsi="Arial;sans-serif"/>
                  <w:b w:val="false"/>
                  <w:color w:val="0000FF"/>
                  <w:sz w:val="20"/>
                  <w:u w:val="single"/>
                </w:rPr>
                <w:t>Item 1.</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21">
              <w:r>
                <w:rPr>
                  <w:rStyle w:val="InternetLink"/>
                  <w:rFonts w:ascii="Arial;sans-serif" w:hAnsi="Arial;sans-serif"/>
                  <w:b w:val="false"/>
                  <w:color w:val="0000FF"/>
                  <w:sz w:val="20"/>
                  <w:u w:val="single"/>
                </w:rPr>
                <w:t>Legal Proceedings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21">
              <w:r>
                <w:rPr>
                  <w:rStyle w:val="InternetLink"/>
                  <w:rFonts w:ascii="Arial;sans-serif" w:hAnsi="Arial;sans-serif"/>
                  <w:b w:val="false"/>
                  <w:color w:val="0000FF"/>
                  <w:sz w:val="20"/>
                  <w:u w:val="single"/>
                </w:rPr>
                <w:t>43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24">
              <w:r>
                <w:rPr>
                  <w:rStyle w:val="InternetLink"/>
                  <w:rFonts w:ascii="Arial;sans-serif" w:hAnsi="Arial;sans-serif"/>
                  <w:b w:val="false"/>
                  <w:color w:val="0000FF"/>
                  <w:sz w:val="20"/>
                  <w:u w:val="single"/>
                </w:rPr>
                <w:t>Item 1A.</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24">
              <w:r>
                <w:rPr>
                  <w:rStyle w:val="InternetLink"/>
                  <w:rFonts w:ascii="Arial;sans-serif" w:hAnsi="Arial;sans-serif"/>
                  <w:b w:val="false"/>
                  <w:color w:val="0000FF"/>
                  <w:sz w:val="20"/>
                  <w:u w:val="single"/>
                </w:rPr>
                <w:t>Risk Factors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24">
              <w:r>
                <w:rPr>
                  <w:rStyle w:val="InternetLink"/>
                  <w:rFonts w:ascii="Arial;sans-serif" w:hAnsi="Arial;sans-serif"/>
                  <w:b w:val="false"/>
                  <w:color w:val="0000FF"/>
                  <w:sz w:val="20"/>
                  <w:u w:val="single"/>
                </w:rPr>
                <w:t>43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27">
              <w:r>
                <w:rPr>
                  <w:rStyle w:val="InternetLink"/>
                  <w:rFonts w:ascii="Arial;sans-serif" w:hAnsi="Arial;sans-serif"/>
                  <w:b w:val="false"/>
                  <w:color w:val="0000FF"/>
                  <w:sz w:val="20"/>
                  <w:u w:val="single"/>
                </w:rPr>
                <w:t>Item 2.</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27">
              <w:r>
                <w:rPr>
                  <w:rStyle w:val="InternetLink"/>
                  <w:rFonts w:ascii="Arial;sans-serif" w:hAnsi="Arial;sans-serif"/>
                  <w:b w:val="false"/>
                  <w:color w:val="0000FF"/>
                  <w:sz w:val="20"/>
                  <w:u w:val="single"/>
                </w:rPr>
                <w:t>Unregistered Sales of Equity Securities and Use of Proceeds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27">
              <w:r>
                <w:rPr>
                  <w:rStyle w:val="InternetLink"/>
                  <w:rFonts w:ascii="Arial;sans-serif" w:hAnsi="Arial;sans-serif"/>
                  <w:b w:val="false"/>
                  <w:color w:val="0000FF"/>
                  <w:sz w:val="20"/>
                  <w:u w:val="single"/>
                </w:rPr>
                <w:t>44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0">
              <w:r>
                <w:rPr>
                  <w:rStyle w:val="InternetLink"/>
                  <w:rFonts w:ascii="Arial;sans-serif" w:hAnsi="Arial;sans-serif"/>
                  <w:b w:val="false"/>
                  <w:color w:val="0000FF"/>
                  <w:sz w:val="20"/>
                  <w:u w:val="single"/>
                </w:rPr>
                <w:t>Item 3.</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0">
              <w:r>
                <w:rPr>
                  <w:rStyle w:val="InternetLink"/>
                  <w:rFonts w:ascii="Arial;sans-serif" w:hAnsi="Arial;sans-serif"/>
                  <w:b w:val="false"/>
                  <w:color w:val="0000FF"/>
                  <w:sz w:val="20"/>
                  <w:u w:val="single"/>
                </w:rPr>
                <w:t>Defaults Upon Senior Securities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30">
              <w:r>
                <w:rPr>
                  <w:rStyle w:val="InternetLink"/>
                  <w:rFonts w:ascii="Arial;sans-serif" w:hAnsi="Arial;sans-serif"/>
                  <w:b w:val="false"/>
                  <w:color w:val="0000FF"/>
                  <w:sz w:val="20"/>
                  <w:u w:val="single"/>
                </w:rPr>
                <w:t>45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3">
              <w:r>
                <w:rPr>
                  <w:rStyle w:val="InternetLink"/>
                  <w:rFonts w:ascii="Arial;sans-serif" w:hAnsi="Arial;sans-serif"/>
                  <w:b w:val="false"/>
                  <w:color w:val="0000FF"/>
                  <w:sz w:val="20"/>
                  <w:u w:val="single"/>
                </w:rPr>
                <w:t>Item 4.</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3">
              <w:r>
                <w:rPr>
                  <w:rStyle w:val="InternetLink"/>
                  <w:rFonts w:ascii="Arial;sans-serif" w:hAnsi="Arial;sans-serif"/>
                  <w:b w:val="false"/>
                  <w:color w:val="0000FF"/>
                  <w:sz w:val="20"/>
                  <w:u w:val="single"/>
                </w:rPr>
                <w:t>Mine Safety Disclosures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33">
              <w:r>
                <w:rPr>
                  <w:rStyle w:val="InternetLink"/>
                  <w:rFonts w:ascii="Arial;sans-serif" w:hAnsi="Arial;sans-serif"/>
                  <w:b w:val="false"/>
                  <w:color w:val="0000FF"/>
                  <w:sz w:val="20"/>
                  <w:u w:val="single"/>
                </w:rPr>
                <w:t>45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6">
              <w:r>
                <w:rPr>
                  <w:rStyle w:val="InternetLink"/>
                  <w:rFonts w:ascii="Arial;sans-serif" w:hAnsi="Arial;sans-serif"/>
                  <w:b w:val="false"/>
                  <w:color w:val="0000FF"/>
                  <w:sz w:val="20"/>
                  <w:u w:val="single"/>
                </w:rPr>
                <w:t>Item 5.</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6">
              <w:r>
                <w:rPr>
                  <w:rStyle w:val="InternetLink"/>
                  <w:rFonts w:ascii="Arial;sans-serif" w:hAnsi="Arial;sans-serif"/>
                  <w:b w:val="false"/>
                  <w:color w:val="0000FF"/>
                  <w:sz w:val="20"/>
                  <w:u w:val="single"/>
                </w:rPr>
                <w:t>Other Information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36">
              <w:r>
                <w:rPr>
                  <w:rStyle w:val="InternetLink"/>
                  <w:rFonts w:ascii="Arial;sans-serif" w:hAnsi="Arial;sans-serif"/>
                  <w:b w:val="false"/>
                  <w:color w:val="0000FF"/>
                  <w:sz w:val="20"/>
                  <w:u w:val="single"/>
                </w:rPr>
                <w:t>45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9">
              <w:r>
                <w:rPr>
                  <w:rStyle w:val="InternetLink"/>
                  <w:rFonts w:ascii="Arial;sans-serif" w:hAnsi="Arial;sans-serif"/>
                  <w:b w:val="false"/>
                  <w:color w:val="0000FF"/>
                  <w:sz w:val="20"/>
                  <w:u w:val="single"/>
                </w:rPr>
                <w:t>Item 6.</w:t>
              </w:r>
            </w:hyperlink>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39">
              <w:r>
                <w:rPr>
                  <w:rStyle w:val="InternetLink"/>
                  <w:rFonts w:ascii="Arial;sans-serif" w:hAnsi="Arial;sans-serif"/>
                  <w:b w:val="false"/>
                  <w:color w:val="0000FF"/>
                  <w:sz w:val="20"/>
                  <w:u w:val="single"/>
                </w:rPr>
                <w:t>Exhibits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39">
              <w:r>
                <w:rPr>
                  <w:rStyle w:val="InternetLink"/>
                  <w:rFonts w:ascii="Arial;sans-serif" w:hAnsi="Arial;sans-serif"/>
                  <w:b w:val="false"/>
                  <w:color w:val="0000FF"/>
                  <w:sz w:val="20"/>
                  <w:u w:val="single"/>
                </w:rPr>
                <w:t>46</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849c90e88a4280849a0a00a5b7ba54_142">
              <w:r>
                <w:rPr>
                  <w:rStyle w:val="InternetLink"/>
                  <w:rFonts w:ascii="Arial;sans-serif" w:hAnsi="Arial;sans-serif"/>
                  <w:b w:val="false"/>
                  <w:color w:val="0000FF"/>
                  <w:sz w:val="20"/>
                  <w:u w:val="single"/>
                </w:rPr>
                <w:t>Signature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49c90e88a4280849a0a00a5b7ba54_142">
              <w:r>
                <w:rPr>
                  <w:rStyle w:val="InternetLink"/>
                  <w:rFonts w:ascii="Arial;sans-serif" w:hAnsi="Arial;sans-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6489" w:type="dxa"/>
        <w:jc w:val="center"/>
        <w:tblInd w:w="0" w:type="dxa"/>
        <w:tblLayout w:type="fixed"/>
        <w:tblCellMar>
          <w:top w:w="28" w:type="dxa"/>
          <w:left w:w="28" w:type="dxa"/>
          <w:bottom w:w="28" w:type="dxa"/>
          <w:right w:w="28" w:type="dxa"/>
        </w:tblCellMar>
      </w:tblPr>
      <w:tblGrid>
        <w:gridCol w:w="1352"/>
        <w:gridCol w:w="1188"/>
        <w:gridCol w:w="1195"/>
        <w:gridCol w:w="196"/>
        <w:gridCol w:w="886"/>
        <w:gridCol w:w="109"/>
        <w:gridCol w:w="109"/>
        <w:gridCol w:w="109"/>
        <w:gridCol w:w="109"/>
        <w:gridCol w:w="196"/>
        <w:gridCol w:w="88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 before funds held for clients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 held for clients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1,004,199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899,249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other 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2,869,790 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deferred compensation plan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3,569,507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3,510,279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4,573,706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4,409,528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Short-term debt </w:t>
            </w: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 before client fund obligations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fund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735,594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Long-term debt </w:t>
            </w: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plan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2,022,129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1,911,867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2,705,974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2,647,461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Accumulated other comprehensive income (loss)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1,762,067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4,573,706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4,409,528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(1)See Note 6. Debt and Financing Arrangements for further discussion of the short-term and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07"/>
        <w:gridCol w:w="1312"/>
        <w:gridCol w:w="1324"/>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6"/>
      </w:tblGrid>
      <w:tr>
        <w:trPr/>
        <w:tc>
          <w:tcPr>
            <w:tcW w:w="15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682,206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683,496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1,530,785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1,521,510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72,438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87,909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298,455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316,011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60,272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260,304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acquisition related adjustments,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income,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57,779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230,689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41,942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164,715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63,960 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175,381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161,365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3712" w:type="dxa"/>
        <w:jc w:val="center"/>
        <w:tblInd w:w="0" w:type="dxa"/>
        <w:tblLayout w:type="fixed"/>
        <w:tblCellMar>
          <w:top w:w="28" w:type="dxa"/>
          <w:left w:w="28" w:type="dxa"/>
          <w:bottom w:w="28" w:type="dxa"/>
          <w:right w:w="28" w:type="dxa"/>
        </w:tblCellMar>
      </w:tblPr>
      <w:tblGrid>
        <w:gridCol w:w="515"/>
        <w:gridCol w:w="453"/>
        <w:gridCol w:w="413"/>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355"/>
        <w:gridCol w:w="811"/>
        <w:gridCol w:w="185"/>
        <w:gridCol w:w="109"/>
        <w:gridCol w:w="109"/>
        <w:gridCol w:w="109"/>
        <w:gridCol w:w="211"/>
        <w:gridCol w:w="99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145,734</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91,435</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1,831,208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1,164,353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(1,110,111)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(1,557)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1,885,351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146,705</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92,735</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1,831,241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1,182,957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(1,148,632)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699</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1,867,732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562" w:type="dxa"/>
        <w:jc w:val="center"/>
        <w:tblInd w:w="0" w:type="dxa"/>
        <w:tblLayout w:type="fixed"/>
        <w:tblCellMar>
          <w:top w:w="28" w:type="dxa"/>
          <w:left w:w="28" w:type="dxa"/>
          <w:bottom w:w="28" w:type="dxa"/>
          <w:right w:w="28" w:type="dxa"/>
        </w:tblCellMar>
      </w:tblPr>
      <w:tblGrid>
        <w:gridCol w:w="515"/>
        <w:gridCol w:w="453"/>
        <w:gridCol w:w="413"/>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99"/>
        <w:gridCol w:w="896"/>
        <w:gridCol w:w="156"/>
        <w:gridCol w:w="109"/>
        <w:gridCol w:w="109"/>
        <w:gridCol w:w="109"/>
        <w:gridCol w:w="211"/>
        <w:gridCol w:w="99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141,924</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87,835</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1,812,729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1,018,895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(918,327)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1,914,701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142,851</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88,827</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1,821,388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1,060,837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(989,680)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1,891,843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3712" w:type="dxa"/>
        <w:jc w:val="center"/>
        <w:tblInd w:w="0" w:type="dxa"/>
        <w:tblLayout w:type="fixed"/>
        <w:tblCellMar>
          <w:top w:w="28" w:type="dxa"/>
          <w:left w:w="28" w:type="dxa"/>
          <w:bottom w:w="28" w:type="dxa"/>
          <w:right w:w="28" w:type="dxa"/>
        </w:tblCellMar>
      </w:tblPr>
      <w:tblGrid>
        <w:gridCol w:w="647"/>
        <w:gridCol w:w="408"/>
        <w:gridCol w:w="326"/>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99"/>
        <w:gridCol w:w="896"/>
        <w:gridCol w:w="156"/>
        <w:gridCol w:w="109"/>
        <w:gridCol w:w="109"/>
        <w:gridCol w:w="109"/>
        <w:gridCol w:w="211"/>
        <w:gridCol w:w="99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2025</w:t>
            </w:r>
          </w:p>
        </w:tc>
        <w:tc>
          <w:tcPr>
            <w:tcW w:w="8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144,654</w:t>
            </w:r>
            <w:r>
              <w:rPr>
                <w:color w:val="000000"/>
              </w:rPr>
              <w:t> </w:t>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90,274</w:t>
            </w:r>
            <w:r>
              <w:rPr>
                <w:color w:val="000000"/>
              </w:rPr>
              <w:t> </w:t>
            </w:r>
          </w:p>
        </w:tc>
        <w:tc>
          <w:tcPr>
            <w:tcW w:w="2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FF0FC"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1,447</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1,830,866</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1,011,566</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(1,078,521)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(3,291)</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1,762,067</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146,705</w:t>
            </w:r>
            <w:r>
              <w:rPr>
                <w:color w:val="000000"/>
              </w:rPr>
              <w:t>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92,735</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1,831,241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1,182,957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(1,148,632)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699</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1,867,732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562" w:type="dxa"/>
        <w:jc w:val="center"/>
        <w:tblInd w:w="0" w:type="dxa"/>
        <w:tblLayout w:type="fixed"/>
        <w:tblCellMar>
          <w:top w:w="28" w:type="dxa"/>
          <w:left w:w="28" w:type="dxa"/>
          <w:bottom w:w="28" w:type="dxa"/>
          <w:right w:w="28" w:type="dxa"/>
        </w:tblCellMar>
      </w:tblPr>
      <w:tblGrid>
        <w:gridCol w:w="647"/>
        <w:gridCol w:w="408"/>
        <w:gridCol w:w="326"/>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99"/>
        <w:gridCol w:w="896"/>
        <w:gridCol w:w="156"/>
        <w:gridCol w:w="109"/>
        <w:gridCol w:w="109"/>
        <w:gridCol w:w="109"/>
        <w:gridCol w:w="211"/>
        <w:gridCol w:w="99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137,945</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87,747</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1,791,863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896,122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(910,601)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1,779,983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2025</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142,851</w:t>
            </w:r>
            <w:r>
              <w:rPr>
                <w:color w:val="000000"/>
              </w:rPr>
              <w:t>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88,827</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1,821,388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1,060,837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(989,680)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1,891,843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9475" w:type="dxa"/>
        <w:jc w:val="left"/>
        <w:tblInd w:w="0" w:type="dxa"/>
        <w:tblLayout w:type="fixed"/>
        <w:tblCellMar>
          <w:top w:w="28" w:type="dxa"/>
          <w:left w:w="28" w:type="dxa"/>
          <w:bottom w:w="28" w:type="dxa"/>
          <w:right w:w="28" w:type="dxa"/>
        </w:tblCellMar>
      </w:tblPr>
      <w:tblGrid>
        <w:gridCol w:w="2398"/>
        <w:gridCol w:w="2107"/>
        <w:gridCol w:w="2121"/>
        <w:gridCol w:w="223"/>
        <w:gridCol w:w="890"/>
        <w:gridCol w:w="115"/>
        <w:gridCol w:w="115"/>
        <w:gridCol w:w="115"/>
        <w:gridCol w:w="115"/>
        <w:gridCol w:w="223"/>
        <w:gridCol w:w="890"/>
        <w:gridCol w:w="163"/>
      </w:tblGrid>
      <w:tr>
        <w:trPr/>
        <w:tc>
          <w:tcPr>
            <w:tcW w:w="239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June 30, </w:t>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operating activities:</w:t>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171,391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164,715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used in operating activities: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 net of recoveries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contingent purchase price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Changes in assets and liabilities, net of acquisitions and divestitures: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(143,107)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personnel costs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122,227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24,880</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investing activities: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and purchases of client lists, net of cash acquired</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client fund investments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sales and maturities of client fund investments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divested operations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funds held for clients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(21,460)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(12,299)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financing activities:</w:t>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bank debt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451,400 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849,600 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bank debt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(696,800)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acquisition of treasury stock</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client funds obligations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 for acquisitions and client lists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(158,315)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(33,249)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decrease in cash, cash equivalents and restricted cash</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(57,548)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(20,668)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218,090 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160,542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166,502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cash, cash equivalents and restricted cash to the Condensed Consolidated Balance Sheets:</w:t>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included in funds held for clients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cash, cash equivalents and restricted cash</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160,542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166,502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SUMMARY OF SIGNIFICANT ACCOUNTING POLICIES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Selected Terms Used in Notes to the Condensed Consolidated Financial Statements</w:t>
      </w:r>
    </w:p>
    <w:p>
      <w:pPr>
        <w:pStyle w:val="TextBody"/>
        <w:bidi w:val="0"/>
        <w:spacing w:lineRule="auto" w:line="288" w:before="120" w:after="283"/>
        <w:jc w:val="left"/>
        <w:rPr/>
      </w:pPr>
      <w:r>
        <w:rPr>
          <w:rFonts w:ascii="Arial;sans-serif" w:hAnsi="Arial;sans-serif"/>
          <w:b/>
          <w:color w:val="000000"/>
          <w:sz w:val="20"/>
        </w:rPr>
        <w:t>ASA – </w:t>
      </w:r>
      <w:r>
        <w:rPr>
          <w:rFonts w:ascii="Arial;sans-serif" w:hAnsi="Arial;sans-serif"/>
          <w:b w:val="false"/>
          <w:color w:val="000000"/>
          <w:sz w:val="20"/>
        </w:rPr>
        <w:t>Administrative Service Agreement</w:t>
      </w:r>
    </w:p>
    <w:p>
      <w:pPr>
        <w:pStyle w:val="TextBody"/>
        <w:bidi w:val="0"/>
        <w:spacing w:lineRule="auto" w:line="288" w:before="120" w:after="283"/>
        <w:jc w:val="left"/>
        <w:rPr/>
      </w:pPr>
      <w:r>
        <w:rPr>
          <w:rFonts w:ascii="Arial;sans-serif" w:hAnsi="Arial;sans-serif"/>
          <w:b/>
          <w:color w:val="000000"/>
          <w:sz w:val="20"/>
        </w:rPr>
        <w:t>ASC –</w:t>
      </w:r>
      <w:r>
        <w:rPr>
          <w:color w:val="000000"/>
        </w:rPr>
        <w:t> </w:t>
      </w:r>
      <w:r>
        <w:rPr>
          <w:rFonts w:ascii="Arial;sans-serif" w:hAnsi="Arial;sans-serif"/>
          <w:b w:val="false"/>
          <w:color w:val="000000"/>
          <w:sz w:val="20"/>
        </w:rPr>
        <w:t>Accounting Standards Codification</w:t>
      </w:r>
    </w:p>
    <w:p>
      <w:pPr>
        <w:pStyle w:val="TextBody"/>
        <w:bidi w:val="0"/>
        <w:spacing w:lineRule="auto" w:line="288" w:before="120" w:after="283"/>
        <w:jc w:val="left"/>
        <w:rPr/>
      </w:pPr>
      <w:r>
        <w:rPr>
          <w:rFonts w:ascii="Arial;sans-serif" w:hAnsi="Arial;sans-serif"/>
          <w:b/>
          <w:color w:val="000000"/>
          <w:sz w:val="20"/>
        </w:rPr>
        <w:t>ASU – </w:t>
      </w:r>
      <w:r>
        <w:rPr>
          <w:rFonts w:ascii="Arial;sans-serif" w:hAnsi="Arial;sans-serif"/>
          <w:b w:val="false"/>
          <w:color w:val="000000"/>
          <w:sz w:val="20"/>
        </w:rPr>
        <w:t>Accounting Standards Update</w:t>
      </w:r>
    </w:p>
    <w:p>
      <w:pPr>
        <w:pStyle w:val="TextBody"/>
        <w:bidi w:val="0"/>
        <w:spacing w:lineRule="auto" w:line="288" w:before="120" w:after="283"/>
        <w:jc w:val="left"/>
        <w:rPr/>
      </w:pPr>
      <w:r>
        <w:rPr>
          <w:rFonts w:ascii="Arial;sans-serif" w:hAnsi="Arial;sans-serif"/>
          <w:b/>
          <w:color w:val="000000"/>
          <w:sz w:val="20"/>
        </w:rPr>
        <w:t>CPA firm –</w:t>
      </w:r>
      <w:r>
        <w:rPr>
          <w:color w:val="000000"/>
        </w:rPr>
        <w:t> </w:t>
      </w:r>
      <w:r>
        <w:rPr>
          <w:rFonts w:ascii="Arial;sans-serif" w:hAnsi="Arial;sans-serif"/>
          <w:b w:val="false"/>
          <w:color w:val="000000"/>
          <w:sz w:val="20"/>
        </w:rPr>
        <w:t>Certified Public Accounting firm</w:t>
      </w:r>
    </w:p>
    <w:p>
      <w:pPr>
        <w:pStyle w:val="TextBody"/>
        <w:bidi w:val="0"/>
        <w:spacing w:lineRule="auto" w:line="288" w:before="120" w:after="283"/>
        <w:jc w:val="left"/>
        <w:rPr/>
      </w:pPr>
      <w:r>
        <w:rPr>
          <w:rFonts w:ascii="Arial;sans-serif" w:hAnsi="Arial;sans-serif"/>
          <w:b/>
          <w:color w:val="000000"/>
          <w:sz w:val="20"/>
        </w:rPr>
        <w:t>FASB –</w:t>
      </w:r>
      <w:r>
        <w:rPr>
          <w:color w:val="000000"/>
        </w:rPr>
        <w:t> </w:t>
      </w:r>
      <w:r>
        <w:rPr>
          <w:rFonts w:ascii="Arial;sans-serif" w:hAnsi="Arial;sans-serif"/>
          <w:b w:val="false"/>
          <w:color w:val="000000"/>
          <w:sz w:val="20"/>
        </w:rPr>
        <w:t>The</w:t>
      </w:r>
      <w:r>
        <w:rPr>
          <w:color w:val="000000"/>
        </w:rPr>
        <w:t> </w:t>
      </w:r>
      <w:r>
        <w:rPr>
          <w:rFonts w:ascii="Arial;sans-serif" w:hAnsi="Arial;sans-serif"/>
          <w:b w:val="false"/>
          <w:color w:val="000000"/>
          <w:sz w:val="20"/>
        </w:rPr>
        <w:t>Financial Accounting Standards Board</w:t>
      </w:r>
    </w:p>
    <w:p>
      <w:pPr>
        <w:pStyle w:val="TextBody"/>
        <w:bidi w:val="0"/>
        <w:spacing w:lineRule="auto" w:line="288" w:before="120" w:after="283"/>
        <w:jc w:val="left"/>
        <w:rPr/>
      </w:pPr>
      <w:r>
        <w:rPr>
          <w:rFonts w:ascii="Arial;sans-serif" w:hAnsi="Arial;sans-serif"/>
          <w:b/>
          <w:color w:val="000000"/>
          <w:sz w:val="20"/>
        </w:rPr>
        <w:t>GAAP –</w:t>
      </w:r>
      <w:r>
        <w:rPr>
          <w:color w:val="000000"/>
        </w:rPr>
        <w:t> </w:t>
      </w:r>
      <w:r>
        <w:rPr>
          <w:rFonts w:ascii="Arial;sans-serif" w:hAnsi="Arial;sans-serif"/>
          <w:b w:val="false"/>
          <w:color w:val="000000"/>
          <w:sz w:val="20"/>
        </w:rPr>
        <w:t>United States Generally Accepted Accounting Principles</w:t>
      </w:r>
    </w:p>
    <w:p>
      <w:pPr>
        <w:pStyle w:val="TextBody"/>
        <w:bidi w:val="0"/>
        <w:spacing w:lineRule="auto" w:line="288" w:before="120" w:after="283"/>
        <w:jc w:val="left"/>
        <w:rPr/>
      </w:pPr>
      <w:r>
        <w:rPr>
          <w:rFonts w:ascii="Arial;sans-serif" w:hAnsi="Arial;sans-serif"/>
          <w:b/>
          <w:color w:val="000000"/>
          <w:sz w:val="20"/>
        </w:rPr>
        <w:t>SOFR –</w:t>
      </w:r>
      <w:r>
        <w:rPr>
          <w:color w:val="000000"/>
        </w:rPr>
        <w:t> </w:t>
      </w:r>
      <w:r>
        <w:rPr>
          <w:rFonts w:ascii="Arial;sans-serif" w:hAnsi="Arial;sans-serif"/>
          <w:b w:val="false"/>
          <w:color w:val="000000"/>
          <w:sz w:val="20"/>
        </w:rPr>
        <w:t>Secured Overnight Financing Rate</w:t>
      </w:r>
    </w:p>
    <w:p>
      <w:pPr>
        <w:pStyle w:val="TextBody"/>
        <w:bidi w:val="0"/>
        <w:spacing w:lineRule="auto" w:line="288" w:before="120" w:after="283"/>
        <w:jc w:val="left"/>
        <w:rPr/>
      </w:pPr>
      <w:r>
        <w:rPr>
          <w:rFonts w:ascii="Arial;sans-serif" w:hAnsi="Arial;sans-serif"/>
          <w:b/>
          <w:color w:val="000000"/>
          <w:sz w:val="20"/>
        </w:rPr>
        <w:t>SEC –</w:t>
      </w:r>
      <w:r>
        <w:rPr>
          <w:color w:val="000000"/>
        </w:rPr>
        <w:t> </w:t>
      </w:r>
      <w:r>
        <w:rPr>
          <w:rFonts w:ascii="Arial;sans-serif" w:hAnsi="Arial;sans-serif"/>
          <w:b w:val="false"/>
          <w:color w:val="000000"/>
          <w:sz w:val="20"/>
        </w:rPr>
        <w:t>United States Securities and Exchange Commission</w:t>
      </w:r>
    </w:p>
    <w:p>
      <w:pPr>
        <w:pStyle w:val="TextBody"/>
        <w:bidi w:val="0"/>
        <w:spacing w:lineRule="auto" w:line="288" w:before="120" w:after="283"/>
        <w:jc w:val="left"/>
        <w:rPr/>
      </w:pPr>
      <w:r>
        <w:rPr>
          <w:rFonts w:ascii="Arial;sans-serif" w:hAnsi="Arial;sans-serif"/>
          <w:b/>
          <w:color w:val="000000"/>
          <w:sz w:val="20"/>
        </w:rPr>
        <w:t>Marcum Transaction –</w:t>
      </w:r>
      <w:r>
        <w:rPr>
          <w:color w:val="000000"/>
        </w:rPr>
        <w:t> </w:t>
      </w:r>
      <w:r>
        <w:rPr>
          <w:rFonts w:ascii="Arial;sans-serif" w:hAnsi="Arial;sans-serif"/>
          <w:b w:val="false"/>
          <w:color w:val="000000"/>
          <w:sz w:val="20"/>
        </w:rPr>
        <w:t>On November 1, 2024, the Company completed the acquisition of Marcum LLP (“Marcum”), an accounting and advisory services firm headquartered in New York City with offices in major markets throughout the United States, to expand the breadth and depth of the Company’s professional services portfolio in the U.S. Pursuant to the Agreement and Plan of Merger dated July 30, 2024 (the “Marcum Merger Agreement”), a wholly owned subsidiary of the Company, merged with and into Marcum Advisory Group, a wholly owned subsidiary of Marcum ("MAG"), to which Marcum contributed substantially all of its non-attest business assets and liabilities, (the “Merger”), resulting in MAG surviving the Merger and becoming a wholly owned subsidiary of the Company. In a separate transaction, CBIZ CPAs P.C., with which the Company has an existing ASA, purchased from Marcum substantially all of Marcum’s attest business assets, subject to certain exclusions (the "Attest Purchase"). As noted in Note 1, Basis of Presentation and Significant Accounting Policies included in our Annual Report on Form 10-K for the year ended December 31, 2025, as amended, the Company does not consolidate certain CPA firms with whom we maintain ASAs, including CBIZ CPAs P.C., therefore, the Merger solely is referred to herein as the “Marcum Transaction.”</w:t>
      </w:r>
    </w:p>
    <w:p>
      <w:pPr>
        <w:pStyle w:val="TextBody"/>
        <w:bidi w:val="0"/>
        <w:spacing w:lineRule="auto" w:line="288" w:before="120" w:after="283"/>
        <w:jc w:val="left"/>
        <w:rPr/>
      </w:pPr>
      <w:r>
        <w:rPr>
          <w:rFonts w:ascii="Arial;sans-serif" w:hAnsi="Arial;sans-serif"/>
          <w:b/>
          <w:color w:val="000000"/>
          <w:sz w:val="20"/>
        </w:rPr>
        <w:t xml:space="preserve">Description of Business: </w:t>
      </w:r>
      <w:r>
        <w:rPr>
          <w:rFonts w:ascii="Arial;sans-serif" w:hAnsi="Arial;sans-serif"/>
          <w:b w:val="false"/>
          <w:color w:val="000000"/>
          <w:sz w:val="20"/>
        </w:rPr>
        <w:t>CBIZ, Inc.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to clients throughout the United States and parts of Canada. Acting through its subsidiaries, it serves small and medium-sized businesses, as well as individuals, governmental entities, and not-for-profit enterprises.CBIZ manages and reports its operations along two practice groups: Financial Services Group and Benefits and Insurance Services Group. A further description of products and services offered by each of the practice groups is provided in Note 15, Segment Disclosures.</w:t>
      </w:r>
    </w:p>
    <w:p>
      <w:pPr>
        <w:pStyle w:val="TextBody"/>
        <w:bidi w:val="0"/>
        <w:spacing w:lineRule="auto" w:line="288" w:before="120" w:after="283"/>
        <w:jc w:val="left"/>
        <w:rPr/>
      </w:pPr>
      <w:r>
        <w:rPr>
          <w:rFonts w:ascii="Arial;sans-serif" w:hAnsi="Arial;sans-serif"/>
          <w:b/>
          <w:color w:val="000000"/>
          <w:sz w:val="20"/>
        </w:rPr>
        <w:t xml:space="preserve">Basis of Consolidation: </w:t>
      </w:r>
      <w:r>
        <w:rPr>
          <w:rFonts w:ascii="Arial;sans-serif" w:hAnsi="Arial;sans-serif"/>
          <w:b w:val="false"/>
          <w:color w:val="000000"/>
          <w:sz w:val="20"/>
        </w:rPr>
        <w:t>The accompanying unaudited condensed consolidated financial statements include the operations of CBIZ, Inc. and all of its wholly-owned subsidiaries after elimination of all intercompany balances and transactions. We have determined that our relationship with certain CPA firms with which we maintain ASAs qualify as variable interest entities ("VIEs"), and we are the primary beneficiary of such VIEs. The accompanying unaudited condensed consolidated financial statements do not reflect the operations or accounts of the VIEs as the impact is not material to the financial condition, results of operations, or cash flows of CBIZ.</w:t>
      </w:r>
    </w:p>
    <w:p>
      <w:pPr>
        <w:pStyle w:val="TextBody"/>
        <w:bidi w:val="0"/>
        <w:spacing w:lineRule="auto" w:line="288" w:before="120" w:after="283"/>
        <w:jc w:val="left"/>
        <w:rPr/>
      </w:pPr>
      <w:r>
        <w:rPr>
          <w:rFonts w:ascii="Arial;sans-serif" w:hAnsi="Arial;sans-serif"/>
          <w:b/>
          <w:color w:val="000000"/>
          <w:sz w:val="20"/>
        </w:rPr>
        <w:t xml:space="preserve">Unaudited Interim Financial Statements: </w:t>
      </w:r>
      <w:r>
        <w:rPr>
          <w:rFonts w:ascii="Arial;sans-serif" w:hAnsi="Arial;sans-serif"/>
          <w:b w:val="false"/>
          <w:color w:val="000000"/>
          <w:sz w:val="20"/>
        </w:rPr>
        <w:t>The unaudited condensed consolidated financial statements have been prepared in 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as amended,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2026.</w:t>
      </w:r>
    </w:p>
    <w:p>
      <w:pPr>
        <w:pStyle w:val="TextBody"/>
        <w:bidi w:val="0"/>
        <w:spacing w:lineRule="auto" w:line="288" w:before="120" w:after="283"/>
        <w:jc w:val="left"/>
        <w:rPr/>
      </w:pPr>
      <w:r>
        <w:rPr>
          <w:rFonts w:ascii="Arial;sans-serif" w:hAnsi="Arial;sans-serif"/>
          <w:b/>
          <w:color w:val="000000"/>
          <w:sz w:val="20"/>
        </w:rPr>
        <w:t xml:space="preserve">Use of Estimates: </w:t>
      </w:r>
      <w:r>
        <w:rPr>
          <w:rFonts w:ascii="Arial;sans-serif" w:hAnsi="Arial;sans-serif"/>
          <w:b w:val="false"/>
          <w:color w:val="000000"/>
          <w:sz w:val="20"/>
        </w:rPr>
        <w:t>The preparation of unaudited condensed consolidated financial statements in conformity with GAAP requires us to make estimates and assumptions that affect the amounts reported and disclosed in the financial statements and the accompanying notes. Changes in circumstances could cause actual results to differ materially from these estimates.</w:t>
      </w:r>
    </w:p>
    <w:p>
      <w:pPr>
        <w:pStyle w:val="TextBody"/>
        <w:bidi w:val="0"/>
        <w:spacing w:lineRule="auto" w:line="288" w:before="120" w:after="283"/>
        <w:jc w:val="left"/>
        <w:rPr/>
      </w:pPr>
      <w:r>
        <w:rPr>
          <w:rFonts w:ascii="Arial;sans-serif" w:hAnsi="Arial;sans-serif"/>
          <w:b/>
          <w:color w:val="000000"/>
          <w:sz w:val="20"/>
        </w:rPr>
        <w:t xml:space="preserve">Changes in Accounting Policies: </w:t>
      </w:r>
      <w:r>
        <w:rPr>
          <w:rFonts w:ascii="Arial;sans-serif" w:hAnsi="Arial;sans-serif"/>
          <w:b w:val="false"/>
          <w:color w:val="000000"/>
          <w:sz w:val="20"/>
        </w:rPr>
        <w:t>We have consistently applied the accounting policies for the periods presented as described in Note 1, Basis of Presentation and Significant Accounting Policies, to the consolidated financial statements contained in our Annual Report on Form 10-K, as amended, for the year ended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 NEW ACCOUNTING PRONOUNCEMENTS </w:t>
      </w:r>
    </w:p>
    <w:p>
      <w:pPr>
        <w:pStyle w:val="TextBody"/>
        <w:bidi w:val="0"/>
        <w:spacing w:lineRule="auto" w:line="288" w:before="120" w:after="283"/>
        <w:jc w:val="left"/>
        <w:rPr/>
      </w:pPr>
      <w:r>
        <w:rPr>
          <w:rFonts w:ascii="Arial;sans-serif" w:hAnsi="Arial;sans-serif"/>
          <w:b/>
          <w:color w:val="000000"/>
          <w:sz w:val="20"/>
        </w:rPr>
        <w:t xml:space="preserve">Recent Accounting Pronouncements - </w:t>
      </w:r>
      <w:r>
        <w:rPr>
          <w:rFonts w:ascii="Arial;sans-serif" w:hAnsi="Arial;sans-serif"/>
          <w:b w:val="false"/>
          <w:color w:val="000000"/>
          <w:sz w:val="20"/>
        </w:rPr>
        <w:t>The FASB ASC is the sole source of authoritative GAAP other than the SEC issued rules and regulations that apply only to 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pStyle w:val="TextBody"/>
        <w:bidi w:val="0"/>
        <w:spacing w:lineRule="auto" w:line="288" w:before="120" w:after="283"/>
        <w:jc w:val="left"/>
        <w:rPr/>
      </w:pPr>
      <w:r>
        <w:rPr>
          <w:rFonts w:ascii="Arial;sans-serif" w:hAnsi="Arial;sans-serif"/>
          <w:b/>
          <w:i/>
          <w:color w:val="000000"/>
          <w:sz w:val="20"/>
        </w:rPr>
        <w:t xml:space="preserve">Accounting Standard Adopted in 2026 - </w:t>
      </w:r>
      <w:r>
        <w:rPr>
          <w:rFonts w:ascii="Arial;sans-serif" w:hAnsi="Arial;sans-serif"/>
          <w:b w:val="false"/>
          <w:color w:val="000000"/>
          <w:sz w:val="20"/>
        </w:rPr>
        <w:t>In July</w:t>
      </w:r>
      <w:r>
        <w:rPr>
          <w:color w:val="000000"/>
        </w:rPr>
        <w:t xml:space="preserve"> </w:t>
      </w:r>
      <w:r>
        <w:rPr>
          <w:rFonts w:ascii="Arial;sans-serif" w:hAnsi="Arial;sans-serif"/>
          <w:b w:val="false"/>
          <w:color w:val="000000"/>
          <w:sz w:val="20"/>
        </w:rPr>
        <w:t>2025,</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FASB</w:t>
      </w:r>
      <w:r>
        <w:rPr>
          <w:color w:val="000000"/>
        </w:rPr>
        <w:t xml:space="preserve"> </w:t>
      </w:r>
      <w:r>
        <w:rPr>
          <w:rFonts w:ascii="Arial;sans-serif" w:hAnsi="Arial;sans-serif"/>
          <w:b w:val="false"/>
          <w:color w:val="000000"/>
          <w:sz w:val="20"/>
        </w:rPr>
        <w:t>issued</w:t>
      </w:r>
      <w:r>
        <w:rPr>
          <w:color w:val="000000"/>
        </w:rPr>
        <w:t xml:space="preserve"> </w:t>
      </w:r>
      <w:r>
        <w:rPr>
          <w:rFonts w:ascii="Arial;sans-serif" w:hAnsi="Arial;sans-serif"/>
          <w:b w:val="false"/>
          <w:color w:val="000000"/>
          <w:sz w:val="20"/>
        </w:rPr>
        <w:t>ASU</w:t>
      </w:r>
      <w:r>
        <w:rPr>
          <w:color w:val="000000"/>
        </w:rPr>
        <w:t xml:space="preserve"> </w:t>
      </w:r>
      <w:r>
        <w:rPr>
          <w:rFonts w:ascii="Arial;sans-serif" w:hAnsi="Arial;sans-serif"/>
          <w:b w:val="false"/>
          <w:color w:val="000000"/>
          <w:sz w:val="20"/>
        </w:rPr>
        <w:t>No.</w:t>
      </w:r>
      <w:r>
        <w:rPr>
          <w:color w:val="000000"/>
        </w:rPr>
        <w:t xml:space="preserve"> </w:t>
      </w:r>
      <w:r>
        <w:rPr>
          <w:rFonts w:ascii="Arial;sans-serif" w:hAnsi="Arial;sans-serif"/>
          <w:b w:val="false"/>
          <w:color w:val="000000"/>
          <w:sz w:val="20"/>
        </w:rPr>
        <w:t>2025-05,</w:t>
      </w:r>
      <w:r>
        <w:rPr>
          <w:color w:val="000000"/>
        </w:rPr>
        <w:t xml:space="preserve"> </w:t>
      </w:r>
      <w:r>
        <w:rPr>
          <w:rFonts w:ascii="Arial;sans-serif" w:hAnsi="Arial;sans-serif"/>
          <w:b w:val="false"/>
          <w:color w:val="000000"/>
          <w:sz w:val="20"/>
        </w:rPr>
        <w:t>Financial</w:t>
      </w:r>
      <w:r>
        <w:rPr>
          <w:color w:val="000000"/>
        </w:rPr>
        <w:t xml:space="preserve"> </w:t>
      </w:r>
      <w:r>
        <w:rPr>
          <w:rFonts w:ascii="Arial;sans-serif" w:hAnsi="Arial;sans-serif"/>
          <w:b w:val="false"/>
          <w:color w:val="000000"/>
          <w:sz w:val="20"/>
        </w:rPr>
        <w:t>Instruments-Credit</w:t>
      </w:r>
      <w:r>
        <w:rPr>
          <w:color w:val="000000"/>
        </w:rPr>
        <w:t xml:space="preserve"> </w:t>
      </w:r>
      <w:r>
        <w:rPr>
          <w:rFonts w:ascii="Arial;sans-serif" w:hAnsi="Arial;sans-serif"/>
          <w:b w:val="false"/>
          <w:color w:val="000000"/>
          <w:sz w:val="20"/>
        </w:rPr>
        <w:t>Losses</w:t>
      </w:r>
      <w:r>
        <w:rPr>
          <w:color w:val="000000"/>
        </w:rPr>
        <w:t xml:space="preserve"> </w:t>
      </w:r>
      <w:r>
        <w:rPr>
          <w:rFonts w:ascii="Arial;sans-serif" w:hAnsi="Arial;sans-serif"/>
          <w:b w:val="false"/>
          <w:color w:val="000000"/>
          <w:sz w:val="20"/>
        </w:rPr>
        <w:t>(Topic</w:t>
      </w:r>
      <w:r>
        <w:rPr>
          <w:color w:val="000000"/>
        </w:rPr>
        <w:t xml:space="preserve"> </w:t>
      </w:r>
      <w:r>
        <w:rPr>
          <w:rFonts w:ascii="Arial;sans-serif" w:hAnsi="Arial;sans-serif"/>
          <w:b w:val="false"/>
          <w:color w:val="000000"/>
          <w:sz w:val="20"/>
        </w:rPr>
        <w:t>326):</w:t>
      </w:r>
      <w:r>
        <w:rPr>
          <w:color w:val="000000"/>
        </w:rPr>
        <w:t xml:space="preserve"> </w:t>
      </w:r>
      <w:r>
        <w:rPr>
          <w:rFonts w:ascii="Arial;sans-serif" w:hAnsi="Arial;sans-serif"/>
          <w:b w:val="false"/>
          <w:color w:val="000000"/>
          <w:sz w:val="20"/>
        </w:rPr>
        <w:t>Measurement</w:t>
      </w:r>
      <w:r>
        <w:rPr>
          <w:color w:val="000000"/>
        </w:rPr>
        <w:t xml:space="preserve"> </w:t>
      </w:r>
      <w:r>
        <w:rPr>
          <w:rFonts w:ascii="Arial;sans-serif" w:hAnsi="Arial;sans-serif"/>
          <w:b w:val="false"/>
          <w:color w:val="000000"/>
          <w:sz w:val="20"/>
        </w:rPr>
        <w:t>of Credit Losses for</w:t>
      </w:r>
      <w:r>
        <w:rPr>
          <w:color w:val="000000"/>
        </w:rPr>
        <w:t xml:space="preserve"> </w:t>
      </w:r>
      <w:r>
        <w:rPr>
          <w:rFonts w:ascii="Arial;sans-serif" w:hAnsi="Arial;sans-serif"/>
          <w:b w:val="false"/>
          <w:color w:val="000000"/>
          <w:sz w:val="20"/>
        </w:rPr>
        <w:t>Accounts Receivable and Contract</w:t>
      </w:r>
      <w:r>
        <w:rPr>
          <w:color w:val="000000"/>
        </w:rPr>
        <w:t xml:space="preserve"> </w:t>
      </w:r>
      <w:r>
        <w:rPr>
          <w:rFonts w:ascii="Arial;sans-serif" w:hAnsi="Arial;sans-serif"/>
          <w:b w:val="false"/>
          <w:color w:val="000000"/>
          <w:sz w:val="20"/>
        </w:rPr>
        <w:t>Assets (“ASU 2025-05”). This standard introduces a practical expedient</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all</w:t>
      </w:r>
      <w:r>
        <w:rPr>
          <w:color w:val="000000"/>
        </w:rPr>
        <w:t xml:space="preserve"> </w:t>
      </w:r>
      <w:r>
        <w:rPr>
          <w:rFonts w:ascii="Arial;sans-serif" w:hAnsi="Arial;sans-serif"/>
          <w:b w:val="false"/>
          <w:color w:val="000000"/>
          <w:sz w:val="20"/>
        </w:rPr>
        <w:t>entities</w:t>
      </w:r>
      <w:r>
        <w:rPr>
          <w:color w:val="000000"/>
        </w:rPr>
        <w:t xml:space="preserve"> </w:t>
      </w:r>
      <w:r>
        <w:rPr>
          <w:rFonts w:ascii="Arial;sans-serif" w:hAnsi="Arial;sans-serif"/>
          <w:b w:val="false"/>
          <w:color w:val="000000"/>
          <w:sz w:val="20"/>
        </w:rPr>
        <w:t>when</w:t>
      </w:r>
      <w:r>
        <w:rPr>
          <w:color w:val="000000"/>
        </w:rPr>
        <w:t xml:space="preserve"> </w:t>
      </w:r>
      <w:r>
        <w:rPr>
          <w:rFonts w:ascii="Arial;sans-serif" w:hAnsi="Arial;sans-serif"/>
          <w:b w:val="false"/>
          <w:color w:val="000000"/>
          <w:sz w:val="20"/>
        </w:rPr>
        <w:t>estimating</w:t>
      </w:r>
      <w:r>
        <w:rPr>
          <w:color w:val="000000"/>
        </w:rPr>
        <w:t xml:space="preserve"> </w:t>
      </w:r>
      <w:r>
        <w:rPr>
          <w:rFonts w:ascii="Arial;sans-serif" w:hAnsi="Arial;sans-serif"/>
          <w:b w:val="false"/>
          <w:color w:val="000000"/>
          <w:sz w:val="20"/>
        </w:rPr>
        <w:t>expected</w:t>
      </w:r>
      <w:r>
        <w:rPr>
          <w:color w:val="000000"/>
        </w:rPr>
        <w:t xml:space="preserve"> </w:t>
      </w:r>
      <w:r>
        <w:rPr>
          <w:rFonts w:ascii="Arial;sans-serif" w:hAnsi="Arial;sans-serif"/>
          <w:b w:val="false"/>
          <w:color w:val="000000"/>
          <w:sz w:val="20"/>
        </w:rPr>
        <w:t>credit</w:t>
      </w:r>
      <w:r>
        <w:rPr>
          <w:color w:val="000000"/>
        </w:rPr>
        <w:t xml:space="preserve"> </w:t>
      </w:r>
      <w:r>
        <w:rPr>
          <w:rFonts w:ascii="Arial;sans-serif" w:hAnsi="Arial;sans-serif"/>
          <w:b w:val="false"/>
          <w:color w:val="000000"/>
          <w:sz w:val="20"/>
        </w:rPr>
        <w:t>losses</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current</w:t>
      </w:r>
      <w:r>
        <w:rPr>
          <w:color w:val="000000"/>
        </w:rPr>
        <w:t xml:space="preserve"> </w:t>
      </w:r>
      <w:r>
        <w:rPr>
          <w:rFonts w:ascii="Arial;sans-serif" w:hAnsi="Arial;sans-serif"/>
          <w:b w:val="false"/>
          <w:color w:val="000000"/>
          <w:sz w:val="20"/>
        </w:rPr>
        <w:t>accounts</w:t>
      </w:r>
      <w:r>
        <w:rPr>
          <w:color w:val="000000"/>
        </w:rPr>
        <w:t xml:space="preserve"> </w:t>
      </w:r>
      <w:r>
        <w:rPr>
          <w:rFonts w:ascii="Arial;sans-serif" w:hAnsi="Arial;sans-serif"/>
          <w:b w:val="false"/>
          <w:color w:val="000000"/>
          <w:sz w:val="20"/>
        </w:rPr>
        <w:t>receivable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contract</w:t>
      </w:r>
      <w:r>
        <w:rPr>
          <w:color w:val="000000"/>
        </w:rPr>
        <w:t xml:space="preserve"> </w:t>
      </w:r>
      <w:r>
        <w:rPr>
          <w:rFonts w:ascii="Arial;sans-serif" w:hAnsi="Arial;sans-serif"/>
          <w:b w:val="false"/>
          <w:color w:val="000000"/>
          <w:sz w:val="20"/>
        </w:rPr>
        <w:t>assets arising from transactions under</w:t>
      </w:r>
      <w:r>
        <w:rPr>
          <w:color w:val="000000"/>
        </w:rPr>
        <w:t xml:space="preserve"> </w:t>
      </w:r>
      <w:r>
        <w:rPr>
          <w:rFonts w:ascii="Arial;sans-serif" w:hAnsi="Arial;sans-serif"/>
          <w:b w:val="false"/>
          <w:color w:val="000000"/>
          <w:sz w:val="20"/>
        </w:rPr>
        <w:t>ASC</w:t>
      </w:r>
      <w:r>
        <w:rPr>
          <w:color w:val="000000"/>
        </w:rPr>
        <w:t xml:space="preserve"> </w:t>
      </w:r>
      <w:r>
        <w:rPr>
          <w:rFonts w:ascii="Arial;sans-serif" w:hAnsi="Arial;sans-serif"/>
          <w:b w:val="false"/>
          <w:color w:val="000000"/>
          <w:sz w:val="20"/>
        </w:rPr>
        <w:t>Topic 606. Under the practical expedient, entities may assume that conditions at the balance sheet date remain unchanged over the life of the asset, reducing the need to prepare complex macroeconomic forecasts for short-term balances.</w:t>
      </w:r>
      <w:r>
        <w:rPr>
          <w:color w:val="000000"/>
        </w:rPr>
        <w:t xml:space="preserve"> </w:t>
      </w:r>
      <w:r>
        <w:rPr>
          <w:rFonts w:ascii="Arial;sans-serif" w:hAnsi="Arial;sans-serif"/>
          <w:b w:val="false"/>
          <w:color w:val="000000"/>
          <w:sz w:val="20"/>
        </w:rPr>
        <w:t>ASU 2025-05 is effective for public companies with annual periods beginning after December 15, 2025, and interim periods within such fiscal years, with prospective application required. We adopted ASU 2025-05 in 2026 and the adoption had no material impact on our unaudited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REVISION OF PREVIOUSLY ISSUED INTERIM FINANCIAL STATEMENTS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Nature of the Error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During the quarter ended June 30, 2026, the Company discovered it inadvertently purchased and delivered up to 481,049 shares of our common stock (the "excess shares") in excess of the number of shares available under its 2007 Employee Stock Purchase Plan (as amended from time to time, the “ESPP”) and registered pursuant to two registration statements on Form S-8. The Company determined that it has an obligation to remediate this matter, including amounts expected to be paid to eligible participants for declines in shares price for shares currently held or lost profits for shares previously if sold, related interest, and applicable employer payroll taxes.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Management evaluated the error in accordance with the guidance in Staff Accounting Bulletin No. 99, </w:t>
      </w:r>
      <w:r>
        <w:rPr>
          <w:rFonts w:ascii="Arial;sans-serif" w:hAnsi="Arial;sans-serif"/>
          <w:b w:val="false"/>
          <w:i/>
          <w:color w:val="000000"/>
          <w:sz w:val="20"/>
        </w:rPr>
        <w:t>Materiality</w:t>
      </w:r>
      <w:r>
        <w:rPr>
          <w:rFonts w:ascii="Arial;sans-serif" w:hAnsi="Arial;sans-serif"/>
          <w:b w:val="false"/>
          <w:color w:val="000000"/>
          <w:sz w:val="20"/>
        </w:rPr>
        <w:t xml:space="preserve">, and Staff Accounting Bulletin No. 108, </w:t>
      </w:r>
      <w:r>
        <w:rPr>
          <w:rFonts w:ascii="Arial;sans-serif" w:hAnsi="Arial;sans-serif"/>
          <w:b w:val="false"/>
          <w:i/>
          <w:color w:val="000000"/>
          <w:sz w:val="20"/>
        </w:rPr>
        <w:t>Considering the Effects of Prior Year Misstatements when Quantifying Misstatements in Current Year Financial Statements</w:t>
      </w:r>
      <w:r>
        <w:rPr>
          <w:rFonts w:ascii="Arial;sans-serif" w:hAnsi="Arial;sans-serif"/>
          <w:b w:val="false"/>
          <w:color w:val="000000"/>
          <w:sz w:val="20"/>
        </w:rPr>
        <w:t>. Based on this evaluation, the Company determined, after an evaluation of both quantitative and qualitative factors, that the purchase and delivery of the excess shares did not have a material impact on the consolidated financial statements included in the Company’s Annual Report on Form 10-K for the year ended December 31, 2025, as amended. However, as a result of the purchase and delivery of the excess shares and the associated obligation, the Company has revised the previously issued interim financial information for the three months ended March 31, 2026 included in this Quarterly Report on Form 10-Q.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Impact of the Revision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following tables summarize the effect of the revision on the Company's previously reported condensed consolidated financial statements (in thousands,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9"/>
        <w:gridCol w:w="1652"/>
        <w:gridCol w:w="1656"/>
        <w:gridCol w:w="283"/>
        <w:gridCol w:w="1372"/>
        <w:gridCol w:w="145"/>
        <w:gridCol w:w="109"/>
        <w:gridCol w:w="109"/>
        <w:gridCol w:w="109"/>
        <w:gridCol w:w="211"/>
        <w:gridCol w:w="795"/>
        <w:gridCol w:w="109"/>
        <w:gridCol w:w="109"/>
        <w:gridCol w:w="109"/>
        <w:gridCol w:w="109"/>
        <w:gridCol w:w="211"/>
        <w:gridCol w:w="1021"/>
        <w:gridCol w:w="157"/>
      </w:tblGrid>
      <w:tr>
        <w:trPr/>
        <w:tc>
          <w:tcPr>
            <w:tcW w:w="19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As Adjusted</w:t>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Balance Sheet Line Items: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655,902 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2,079,882 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2,076,764 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2,744,609 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1,173,178 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1,164,353 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1,894,176 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1,885,351 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As Adjusted</w:t>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Statements of Comprehensive Income Line Items: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61,742 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152,787 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As Adjusted</w:t>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Statements of Cash Flow Line Items: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4. BUSINESS COMBINATIONS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Marcum Acquisition</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Stock Consideration Transferred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Pursuant to the terms of the Marcum Transaction, with respect to the 13.6 million shares of stock consideration, approximately 8.2 million shares, in aggregate, were delivered from January 2, 2025 to June 30, 2026 to the selling shareholders. The remaining 5.3 million shares will be delivered in 18 monthly installments starting July 1, 2026.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Working Capital Adjustment Related to the Marcum Transaction</w:t>
      </w:r>
    </w:p>
    <w:p>
      <w:pPr>
        <w:pStyle w:val="TextBody"/>
        <w:bidi w:val="0"/>
        <w:spacing w:lineRule="auto" w:line="288" w:before="120" w:after="283"/>
        <w:jc w:val="left"/>
        <w:rPr/>
      </w:pPr>
      <w:r>
        <w:rPr>
          <w:rFonts w:ascii="Arial;sans-serif" w:hAnsi="Arial;sans-serif"/>
          <w:b w:val="false"/>
          <w:color w:val="000000"/>
          <w:sz w:val="20"/>
        </w:rPr>
        <w:t>During the six months ended June 30, 2026, the Company finalized the working capital and related purchase price adjustment associated with the Marcum Transaction in accordance with the applicable provisions of the Marcum Merger Agreement. As a result, the Company received $46.5 million</w:t>
      </w:r>
      <w:r>
        <w:rPr>
          <w:color w:val="000000"/>
        </w:rPr>
        <w:t xml:space="preserve"> </w:t>
      </w:r>
      <w:r>
        <w:rPr>
          <w:rFonts w:ascii="Arial;sans-serif" w:hAnsi="Arial;sans-serif"/>
          <w:b w:val="false"/>
          <w:color w:val="000000"/>
          <w:sz w:val="20"/>
        </w:rPr>
        <w:t xml:space="preserve">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January 26, 2026. In addition, the Company recorded a notes receivable of $10.7 million, of which $3.5 million was received on January 26, 2026, from Marcum and Marcum Partners SPV LLC, entities not owned by CBIZ, related to the remaining working capital payments. Total cash received from the finalization of working capital adjustment was $50.0 million during the six months ended June 30, 2026. The Company recorded a gain of $57.2 million related to this final working capital adjustment. Additionally, the Company recorded a gain of $0.8 million associated with other acquisition related adjustments. Both gains were reported as Gain from acquisition related adjustments, net in the accompanying condensed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cash received from the final working capital adjustment, the Company received $3.1 million in cash from an indemnity escrow associated with the Marcum Transaction. Total cash received on January 26, 2026 was $53.1 million.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BINDZ Acquisition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June 1, 2026, the Company acquired BINDZ Consulting Private Limited ("BINDZ"), an India-based professional services company, for $9.8 million in cash. BINDZ previously played a critical role in supporting CBIZ’s client delivery across accounting and tax. This acquisition allows CBIZ to scale its global capabilities in India, expanding capacity for delivery of its professional services. BINDZ maintains its general ledger in local currency (or rupees). The BINDZ financials are translated into US currency, which results in foreign currency translation gain and loss.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5. ACCOUNTS RECEIVABLE,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other pertinent factors that may impact the collectivity of the receivables. Receivables are charged-off against the allowance when the balance is deemed uncollectible.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net, at June 30, 2026 and December 31, 2025 was as follows (in thousands):</w:t>
      </w:r>
    </w:p>
    <w:tbl>
      <w:tblPr>
        <w:tblW w:w="6308" w:type="dxa"/>
        <w:jc w:val="left"/>
        <w:tblInd w:w="0" w:type="dxa"/>
        <w:tblLayout w:type="fixed"/>
        <w:tblCellMar>
          <w:top w:w="28" w:type="dxa"/>
          <w:left w:w="28" w:type="dxa"/>
          <w:bottom w:w="28" w:type="dxa"/>
          <w:right w:w="28" w:type="dxa"/>
        </w:tblCellMar>
      </w:tblPr>
      <w:tblGrid>
        <w:gridCol w:w="1297"/>
        <w:gridCol w:w="1140"/>
        <w:gridCol w:w="1147"/>
        <w:gridCol w:w="211"/>
        <w:gridCol w:w="856"/>
        <w:gridCol w:w="109"/>
        <w:gridCol w:w="109"/>
        <w:gridCol w:w="109"/>
        <w:gridCol w:w="109"/>
        <w:gridCol w:w="211"/>
        <w:gridCol w:w="85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542,883 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469,209 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revenue, at net realizable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w:t>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765,766 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605,910 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711,919 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555,995 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Changes to the allowance for doubtful accounts for the six months ended June 30, 2026 and year ended December 31, 2025 were as follows (in thousands):</w:t>
      </w:r>
    </w:p>
    <w:tbl>
      <w:tblPr>
        <w:tblW w:w="5567" w:type="dxa"/>
        <w:jc w:val="left"/>
        <w:tblInd w:w="0" w:type="dxa"/>
        <w:tblLayout w:type="fixed"/>
        <w:tblCellMar>
          <w:top w:w="28" w:type="dxa"/>
          <w:left w:w="28" w:type="dxa"/>
          <w:bottom w:w="28" w:type="dxa"/>
          <w:right w:w="28" w:type="dxa"/>
        </w:tblCellMar>
      </w:tblPr>
      <w:tblGrid>
        <w:gridCol w:w="1046"/>
        <w:gridCol w:w="921"/>
        <w:gridCol w:w="927"/>
        <w:gridCol w:w="211"/>
        <w:gridCol w:w="811"/>
        <w:gridCol w:w="109"/>
        <w:gridCol w:w="109"/>
        <w:gridCol w:w="109"/>
        <w:gridCol w:w="109"/>
        <w:gridCol w:w="218"/>
        <w:gridCol w:w="838"/>
        <w:gridCol w:w="159"/>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Charge-offs, net of recoveries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(53,847)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(49,915)</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 DEBT AND FINANCING ARRANGEMENTS</w:t>
      </w:r>
    </w:p>
    <w:p>
      <w:pPr>
        <w:pStyle w:val="TextBody"/>
        <w:bidi w:val="0"/>
        <w:spacing w:lineRule="auto" w:line="288" w:before="120" w:after="283"/>
        <w:jc w:val="left"/>
        <w:rPr/>
      </w:pPr>
      <w:r>
        <w:rPr>
          <w:rFonts w:ascii="Arial;sans-serif" w:hAnsi="Arial;sans-serif"/>
          <w:b/>
          <w:color w:val="000000"/>
          <w:sz w:val="20"/>
        </w:rPr>
        <w:t xml:space="preserve">2024 Credit Facilities </w:t>
      </w:r>
      <w:r>
        <w:rPr>
          <w:rFonts w:ascii="Arial;sans-serif" w:hAnsi="Arial;sans-serif"/>
          <w:b w:val="false"/>
          <w:color w:val="000000"/>
          <w:sz w:val="20"/>
        </w:rPr>
        <w:t xml:space="preserve">- Our primary financing arrangement is the 2024 Credit Facilities. The 2024 Credit Facilities is a $2.0 billion </w:t>
      </w:r>
      <w:r>
        <w:rPr>
          <w:rFonts w:ascii="Arial;sans-serif" w:hAnsi="Arial;sans-serif"/>
          <w:b w:val="false"/>
          <w:color w:val="000000"/>
          <w:sz w:val="20"/>
          <w:shd w:fill="FFFFFF" w:val="clear"/>
        </w:rPr>
        <w:t xml:space="preserve">senior secured credit facilities, consisting of a </w:t>
      </w:r>
      <w:r>
        <w:rPr>
          <w:rFonts w:ascii="Arial;sans-serif" w:hAnsi="Arial;sans-serif"/>
          <w:b w:val="false"/>
          <w:color w:val="000000"/>
          <w:sz w:val="20"/>
        </w:rPr>
        <w:t>$1.4 billion</w:t>
      </w:r>
      <w:r>
        <w:rPr>
          <w:color w:val="000000"/>
          <w:shd w:fill="FFFFFF" w:val="clear"/>
        </w:rPr>
        <w:t xml:space="preserve"> </w:t>
      </w:r>
      <w:r>
        <w:rPr>
          <w:rFonts w:ascii="Arial;sans-serif" w:hAnsi="Arial;sans-serif"/>
          <w:b w:val="false"/>
          <w:color w:val="000000"/>
          <w:sz w:val="20"/>
          <w:shd w:fill="FFFFFF" w:val="clear"/>
        </w:rPr>
        <w:t xml:space="preserve">term loan (the “Term Loan”) and </w:t>
      </w:r>
      <w:r>
        <w:rPr>
          <w:rFonts w:ascii="Arial;sans-serif" w:hAnsi="Arial;sans-serif"/>
          <w:b w:val="false"/>
          <w:color w:val="000000"/>
          <w:sz w:val="20"/>
        </w:rPr>
        <w:t>$600.0 million</w:t>
      </w:r>
      <w:r>
        <w:rPr>
          <w:color w:val="000000"/>
          <w:shd w:fill="FFFFFF" w:val="clear"/>
        </w:rPr>
        <w:t xml:space="preserve"> </w:t>
      </w:r>
      <w:r>
        <w:rPr>
          <w:rFonts w:ascii="Arial;sans-serif" w:hAnsi="Arial;sans-serif"/>
          <w:b w:val="false"/>
          <w:color w:val="000000"/>
          <w:sz w:val="20"/>
          <w:shd w:fill="FFFFFF" w:val="clear"/>
        </w:rPr>
        <w:t>revolving credit facility (the “Revolving Credit Facility”).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color w:val="000000"/>
          <w:sz w:val="20"/>
        </w:rPr>
        <w:t>Th</w:t>
      </w:r>
      <w:r>
        <w:rPr>
          <w:rFonts w:ascii="Arial;sans-serif" w:hAnsi="Arial;sans-serif"/>
          <w:b w:val="false"/>
          <w:color w:val="000000"/>
          <w:sz w:val="20"/>
          <w:shd w:fill="FFFFFF" w:val="clear"/>
        </w:rPr>
        <w:t xml:space="preserve">e 2024 Credit Facilities matures on November 1, 2029. The Term Loan provides for scheduled annual principal amortization payments of </w:t>
      </w:r>
      <w:r>
        <w:rPr>
          <w:rFonts w:ascii="Arial;sans-serif" w:hAnsi="Arial;sans-serif"/>
          <w:b w:val="false"/>
          <w:color w:val="000000"/>
          <w:sz w:val="20"/>
        </w:rPr>
        <w:t>5%</w:t>
      </w:r>
      <w:r>
        <w:rPr>
          <w:color w:val="000000"/>
          <w:shd w:fill="FFFFFF" w:val="clear"/>
        </w:rPr>
        <w:t xml:space="preserve"> </w:t>
      </w:r>
      <w:r>
        <w:rPr>
          <w:rFonts w:ascii="Arial;sans-serif" w:hAnsi="Arial;sans-serif"/>
          <w:b w:val="false"/>
          <w:color w:val="000000"/>
          <w:sz w:val="20"/>
          <w:shd w:fill="FFFFFF" w:val="clear"/>
        </w:rPr>
        <w:t xml:space="preserve">in the first two years following closing, </w:t>
      </w:r>
      <w:r>
        <w:rPr>
          <w:rFonts w:ascii="Arial;sans-serif" w:hAnsi="Arial;sans-serif"/>
          <w:b w:val="false"/>
          <w:color w:val="000000"/>
          <w:sz w:val="20"/>
        </w:rPr>
        <w:t xml:space="preserve">7.5% </w:t>
      </w:r>
      <w:r>
        <w:rPr>
          <w:rFonts w:ascii="Arial;sans-serif" w:hAnsi="Arial;sans-serif"/>
          <w:b w:val="false"/>
          <w:color w:val="000000"/>
          <w:sz w:val="20"/>
          <w:shd w:fill="FFFFFF" w:val="clear"/>
        </w:rPr>
        <w:t xml:space="preserve">annually in the third and fourth year following closing and </w:t>
      </w:r>
      <w:r>
        <w:rPr>
          <w:rFonts w:ascii="Arial;sans-serif" w:hAnsi="Arial;sans-serif"/>
          <w:b w:val="false"/>
          <w:color w:val="000000"/>
          <w:sz w:val="20"/>
        </w:rPr>
        <w:t xml:space="preserve">10% </w:t>
      </w:r>
      <w:r>
        <w:rPr>
          <w:rFonts w:ascii="Arial;sans-serif" w:hAnsi="Arial;sans-serif"/>
          <w:b w:val="false"/>
          <w:color w:val="000000"/>
          <w:sz w:val="20"/>
          <w:shd w:fill="FFFFFF" w:val="clear"/>
        </w:rPr>
        <w:t>in the fifth year following closing, with the balance due at maturity.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 our common stock. Our Board of Directors has discretion over the payment and level of dividends on our common stock, subject to the limitations of the 2024 Credit Facilities and applicable law. The 2024 Credit Facilities contains a provision that, in the event of a defined change in control, the 2024 Credit Facilities may be terminated.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the 2024 Credit Facilities includes a financial covenant requiring that Total Net Leverage Ratio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requires a Minimum Consolidated Interest Coverage Ratio of 3.00 to 1.00 and affirmative and negative covenants that are in each case generally similar to those contained in our previous amended and restated 2022 credit facility, but with increases to certain baskets and caps and certain other exceptions. As of June 30, 2026, we were in compliance with all covenants under the 2024 Credit Facilities.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balance outstanding under the 2024 Credit Facilities at June 30, 2026 and December 31, 2025 was as follows (in thousands): </w:t>
      </w:r>
    </w:p>
    <w:tbl>
      <w:tblPr>
        <w:tblW w:w="8079" w:type="dxa"/>
        <w:jc w:val="left"/>
        <w:tblInd w:w="0" w:type="dxa"/>
        <w:tblLayout w:type="fixed"/>
        <w:tblCellMar>
          <w:top w:w="28" w:type="dxa"/>
          <w:left w:w="28" w:type="dxa"/>
          <w:bottom w:w="28" w:type="dxa"/>
          <w:right w:w="28" w:type="dxa"/>
        </w:tblCellMar>
      </w:tblPr>
      <w:tblGrid>
        <w:gridCol w:w="1656"/>
        <w:gridCol w:w="1457"/>
        <w:gridCol w:w="1461"/>
        <w:gridCol w:w="211"/>
        <w:gridCol w:w="1021"/>
        <w:gridCol w:w="109"/>
        <w:gridCol w:w="109"/>
        <w:gridCol w:w="109"/>
        <w:gridCol w:w="109"/>
        <w:gridCol w:w="247"/>
        <w:gridCol w:w="1199"/>
        <w:gridCol w:w="128"/>
        <w:gridCol w:w="109"/>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debt</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debt issuance costs, Term Loan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short-term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66,372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Revolver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Revolver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portion, Term Loan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portion Debt Issuance Costs, Term Loan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1,375,734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1,389,552</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blended effective interest rates under the 2024 Credit Facilities, including the impact of interest rate swaps associated with those credit facilities, for the six months ended June 30, 2026 and 2025 were as follows:</w:t>
      </w:r>
    </w:p>
    <w:tbl>
      <w:tblPr>
        <w:tblW w:w="6066" w:type="dxa"/>
        <w:jc w:val="left"/>
        <w:tblInd w:w="0" w:type="dxa"/>
        <w:tblLayout w:type="fixed"/>
        <w:tblCellMar>
          <w:top w:w="28" w:type="dxa"/>
          <w:left w:w="28" w:type="dxa"/>
          <w:bottom w:w="28" w:type="dxa"/>
          <w:right w:w="28" w:type="dxa"/>
        </w:tblCellMar>
      </w:tblPr>
      <w:tblGrid>
        <w:gridCol w:w="820"/>
        <w:gridCol w:w="720"/>
        <w:gridCol w:w="725"/>
        <w:gridCol w:w="725"/>
        <w:gridCol w:w="353"/>
        <w:gridCol w:w="316"/>
        <w:gridCol w:w="250"/>
        <w:gridCol w:w="250"/>
        <w:gridCol w:w="250"/>
        <w:gridCol w:w="725"/>
        <w:gridCol w:w="353"/>
        <w:gridCol w:w="316"/>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rates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6.06%</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Range of effective rates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3.54% - 6.84%</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3.18% - 8.75%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approximately $418.3 million of available funds under the 2024 Credit Facilities at June 30, 2026,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10, Debt and Financing Arrangements, to the consolidated financial statements contained in our Annual Report on Form 10-K for the year ended December 31, 2025, as amended, for further discussion on the 2024 Credit Facilities.</w:t>
      </w:r>
    </w:p>
    <w:p>
      <w:pPr>
        <w:pStyle w:val="TextBody"/>
        <w:bidi w:val="0"/>
        <w:spacing w:lineRule="auto" w:line="288" w:before="120" w:after="283"/>
        <w:jc w:val="left"/>
        <w:rPr/>
      </w:pPr>
      <w:r>
        <w:rPr>
          <w:rFonts w:ascii="Arial;sans-serif" w:hAnsi="Arial;sans-serif"/>
          <w:b/>
          <w:color w:val="000000"/>
          <w:sz w:val="20"/>
        </w:rPr>
        <w:t xml:space="preserve">Other Line of Credit </w:t>
      </w:r>
      <w:r>
        <w:rPr>
          <w:rFonts w:ascii="Arial;sans-serif" w:hAnsi="Arial;sans-serif"/>
          <w:b w:val="false"/>
          <w:color w:val="000000"/>
          <w:sz w:val="20"/>
        </w:rPr>
        <w:t>- We have an unsecured $20.0 million line of credit by and among CBIZ Benefits and Insurance, Inc. and Huntington National Bank ("line of credit"). We utilize this line of credit to support our short-term funding requirements of payroll client fund obligations due to the investment of client funds, rather than liquidating client funds that have already been invested in available-for-sale securities. The line of credit did not have a balance outstanding at June 30, 2026 or December 31, 2025. The line of credit was renewed in July 2026 and will now terminate on July 30, 2027.</w:t>
      </w:r>
    </w:p>
    <w:p>
      <w:pPr>
        <w:pStyle w:val="TextBody"/>
        <w:bidi w:val="0"/>
        <w:spacing w:lineRule="auto" w:line="288" w:before="120" w:after="120"/>
        <w:jc w:val="left"/>
        <w:rPr/>
      </w:pPr>
      <w:r>
        <w:rPr>
          <w:rFonts w:ascii="Arial;sans-serif" w:hAnsi="Arial;sans-serif"/>
          <w:b/>
          <w:color w:val="000000"/>
          <w:sz w:val="20"/>
        </w:rPr>
        <w:t xml:space="preserve">Interest Expense </w:t>
      </w:r>
      <w:r>
        <w:rPr>
          <w:rFonts w:ascii="Arial;sans-serif" w:hAnsi="Arial;sans-serif"/>
          <w:b w:val="false"/>
          <w:color w:val="000000"/>
          <w:sz w:val="20"/>
        </w:rPr>
        <w:t xml:space="preserve">- Interest expense, including amortization of deferred financing costs, commitment fees, line of credit fees, and other applicable bank charges, for the three and six months ended June 30, 2026 and 2025 was as follows (in thousands): </w:t>
      </w:r>
    </w:p>
    <w:tbl>
      <w:tblPr>
        <w:tblW w:w="6829" w:type="dxa"/>
        <w:jc w:val="left"/>
        <w:tblInd w:w="0" w:type="dxa"/>
        <w:tblLayout w:type="fixed"/>
        <w:tblCellMar>
          <w:top w:w="28" w:type="dxa"/>
          <w:left w:w="28" w:type="dxa"/>
          <w:bottom w:w="28" w:type="dxa"/>
          <w:right w:w="28" w:type="dxa"/>
        </w:tblCellMar>
      </w:tblPr>
      <w:tblGrid>
        <w:gridCol w:w="510"/>
        <w:gridCol w:w="449"/>
        <w:gridCol w:w="451"/>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7. COMMITMENTS AND CONTINGENCIES</w:t>
      </w:r>
    </w:p>
    <w:p>
      <w:pPr>
        <w:pStyle w:val="TextBody"/>
        <w:bidi w:val="0"/>
        <w:spacing w:lineRule="auto" w:line="288" w:before="120" w:after="283"/>
        <w:jc w:val="left"/>
        <w:rPr/>
      </w:pPr>
      <w:r>
        <w:rPr>
          <w:rFonts w:ascii="Arial;sans-serif" w:hAnsi="Arial;sans-serif"/>
          <w:b/>
          <w:color w:val="000000"/>
          <w:sz w:val="20"/>
        </w:rPr>
        <w:t xml:space="preserve">Letters of Credit and Guarantees </w:t>
      </w:r>
      <w:r>
        <w:rPr>
          <w:rFonts w:ascii="Arial;sans-serif" w:hAnsi="Arial;sans-serif"/>
          <w:b w:val="false"/>
          <w:color w:val="000000"/>
          <w:sz w:val="20"/>
        </w:rPr>
        <w:t>- We provide letters of credit to landlords (lessors) of our leased premises in lieu of cash security deposits, which totaled $3.2 million and $3.2 million at June 30, 2026 and December 31, 2025, respectively. In addition, we provide license bonds to various state agencies to meet certain licensing requirements. The amount of license bonds outstanding was $2.1 million and $2.1 million at June 30, 2026 and December 31, 2025, respectively.</w:t>
      </w:r>
    </w:p>
    <w:p>
      <w:pPr>
        <w:pStyle w:val="TextBody"/>
        <w:bidi w:val="0"/>
        <w:spacing w:lineRule="auto" w:line="288" w:before="120" w:after="283"/>
        <w:jc w:val="left"/>
        <w:rPr/>
      </w:pPr>
      <w:r>
        <w:rPr>
          <w:rFonts w:ascii="Arial;sans-serif" w:hAnsi="Arial;sans-serif"/>
          <w:b/>
          <w:color w:val="000000"/>
          <w:sz w:val="20"/>
        </w:rPr>
        <w:t xml:space="preserve">Legal Proceedings </w:t>
      </w:r>
      <w:r>
        <w:rPr>
          <w:rFonts w:ascii="Arial;sans-serif" w:hAnsi="Arial;sans-serif"/>
          <w:b w:val="false"/>
          <w:color w:val="000000"/>
          <w:sz w:val="20"/>
        </w:rPr>
        <w:t>- 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Both cases were transferred into a multidistrict litigation, styled as In Re: MOVEit Customer Data Security Breach Litigation, pending in the United States District Court for the District of Massachusetts (the “MDL”). To date, the MDL has over 300 cases against over 100 different defendants, all with claims arising out of the cyber breach by hackers of Progress Software Corporation’s MOVEit Transfer software. The MDL has a bellwether structure, under which defendants in the MDL cases have been divided into bellwether and non-bellwether defendants. CBIZ is a non-bellwether defendant. The parties to the two CBIZ MOVEit matters have reached agreement in principle to settle such matters for a combined amount of $7.2 million, which CBIZ recorded as a loss as a component of Other income, net on the condensed consolidated statement of comprehensive income for the three and six months ended June 30, 2026. CBIZ anticipates the full such amount being paid by applicable insurance coverage following approval by the MDL court of such settlement.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June of 2025, the Company settled litigation against a small group of former employees. As part of the settlement of that litigation, the Company received a settlement payment of $12.5 million, which was recorded as a pre-tax gain in “Other income, net” on the Condensed Consolidated Statements of Comprehensive Income for the year ended December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items disclosed above, the Company is, from time to time, subject to claims and lawsuits arising in the ordinary course of business. We cannot predict the outcome of all such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or estimate the possible loss, if any. Although the proceedings are subject to uncertainties in the litigation process and the ultimate disposition of these proceedings is not presently determinable, we intend to vigorously defend these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12, Commitments and Contingencies, to the consolidated financial statements contained in our Annual Report on Form 10-K for the year ended December 31, 2025, as amended, for further discussion on the Company's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8. FINANCIAL INSTRUMENTS</w:t>
      </w:r>
    </w:p>
    <w:p>
      <w:pPr>
        <w:pStyle w:val="TextBody"/>
        <w:bidi w:val="0"/>
        <w:spacing w:lineRule="auto" w:line="288" w:before="120" w:after="283"/>
        <w:jc w:val="left"/>
        <w:rPr/>
      </w:pPr>
      <w:r>
        <w:rPr>
          <w:rFonts w:ascii="Arial;sans-serif" w:hAnsi="Arial;sans-serif"/>
          <w:b/>
          <w:color w:val="000000"/>
          <w:sz w:val="20"/>
        </w:rPr>
        <w:t xml:space="preserve">Available-For-Sale Debt Securities </w:t>
      </w:r>
      <w:r>
        <w:rPr>
          <w:rFonts w:ascii="Arial;sans-serif" w:hAnsi="Arial;sans-serif"/>
          <w:b w:val="false"/>
          <w:color w:val="000000"/>
          <w:sz w:val="20"/>
        </w:rPr>
        <w:t>- In connection with certain services provided by our payroll operations, we collect funds 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$45.3 million and $45.0 million at June 30, 2026 and December 31, 2025, respectively, and these investments have maturity or callable dates ranging from December 2026 through March 2031.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June 30, 2026,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activities related to these investments for the six months ended June 30, 2026 and the year ended December 31, 2025 (in thousands):</w:t>
      </w:r>
    </w:p>
    <w:tbl>
      <w:tblPr>
        <w:tblW w:w="8549" w:type="dxa"/>
        <w:jc w:val="left"/>
        <w:tblInd w:w="0" w:type="dxa"/>
        <w:tblLayout w:type="fixed"/>
        <w:tblCellMar>
          <w:top w:w="28" w:type="dxa"/>
          <w:left w:w="28" w:type="dxa"/>
          <w:bottom w:w="28" w:type="dxa"/>
          <w:right w:w="28" w:type="dxa"/>
        </w:tblCellMar>
      </w:tblPr>
      <w:tblGrid>
        <w:gridCol w:w="1046"/>
        <w:gridCol w:w="921"/>
        <w:gridCol w:w="927"/>
        <w:gridCol w:w="523"/>
        <w:gridCol w:w="1862"/>
        <w:gridCol w:w="270"/>
        <w:gridCol w:w="109"/>
        <w:gridCol w:w="109"/>
        <w:gridCol w:w="109"/>
        <w:gridCol w:w="496"/>
        <w:gridCol w:w="1767"/>
        <w:gridCol w:w="25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beginning of period</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2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Redemptions</w:t>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Maturities </w:t>
            </w:r>
          </w:p>
        </w:tc>
        <w:tc>
          <w:tcPr>
            <w:tcW w:w="2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(34,595)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bond premium</w:t>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market value adjustment</w:t>
            </w:r>
          </w:p>
        </w:tc>
        <w:tc>
          <w:tcPr>
            <w:tcW w:w="2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end of period</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44,778 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available-for-sale debt securities discussed above, we also held other depository assets in the amount of $0.2 million and $0.5 million at June 30, 2026 and December 31, 2025, respectively. Those depository assets are classified as Level 1 in the fair value hierarchy. </w:t>
      </w:r>
    </w:p>
    <w:p>
      <w:pPr>
        <w:pStyle w:val="TextBody"/>
        <w:bidi w:val="0"/>
        <w:spacing w:lineRule="auto" w:line="288" w:before="120" w:after="283"/>
        <w:jc w:val="left"/>
        <w:rPr/>
      </w:pPr>
      <w:r>
        <w:rPr>
          <w:rFonts w:ascii="Arial;sans-serif" w:hAnsi="Arial;sans-serif"/>
          <w:b/>
          <w:color w:val="000000"/>
          <w:sz w:val="20"/>
        </w:rPr>
        <w:t xml:space="preserve">Interest Rate Swaps </w:t>
      </w:r>
      <w:r>
        <w:rPr>
          <w:rFonts w:ascii="Arial;sans-serif" w:hAnsi="Arial;sans-serif"/>
          <w:b w:val="false"/>
          <w:color w:val="000000"/>
          <w:sz w:val="20"/>
        </w:rPr>
        <w:t>- We utilize interest rate swaps to manage interest rate risk exposure associated with our floating-rate debt under the 2024 Credit Facilities, or the forecasted acquisition of such liability. We do not purchase or hold any derivative instruments for trading or speculative purposes. Refer to Note 7, Financial Instruments, to the consolidated financial statements contained in our Annual Report on Form 10-K for the year ended December 31, 2025, as amended, for further discussion on our interest rate swaps.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outstanding interest rate swaps and their classification in the accompanying unaudited Condensed Consolidated Balance Sheets at June 30, 2026 and December 31, 2025 (amounts 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9656" w:type="dxa"/>
        <w:jc w:val="left"/>
        <w:tblInd w:w="0" w:type="dxa"/>
        <w:tblLayout w:type="fixed"/>
        <w:tblCellMar>
          <w:top w:w="28" w:type="dxa"/>
          <w:left w:w="28" w:type="dxa"/>
          <w:bottom w:w="28" w:type="dxa"/>
          <w:right w:w="28" w:type="dxa"/>
        </w:tblCellMar>
      </w:tblPr>
      <w:tblGrid>
        <w:gridCol w:w="631"/>
        <w:gridCol w:w="552"/>
        <w:gridCol w:w="557"/>
        <w:gridCol w:w="211"/>
        <w:gridCol w:w="856"/>
        <w:gridCol w:w="109"/>
        <w:gridCol w:w="109"/>
        <w:gridCol w:w="109"/>
        <w:gridCol w:w="109"/>
        <w:gridCol w:w="323"/>
        <w:gridCol w:w="323"/>
        <w:gridCol w:w="536"/>
        <w:gridCol w:w="109"/>
        <w:gridCol w:w="109"/>
        <w:gridCol w:w="109"/>
        <w:gridCol w:w="354"/>
        <w:gridCol w:w="354"/>
        <w:gridCol w:w="356"/>
        <w:gridCol w:w="109"/>
        <w:gridCol w:w="109"/>
        <w:gridCol w:w="109"/>
        <w:gridCol w:w="211"/>
        <w:gridCol w:w="541"/>
        <w:gridCol w:w="109"/>
        <w:gridCol w:w="109"/>
        <w:gridCol w:w="109"/>
        <w:gridCol w:w="109"/>
        <w:gridCol w:w="679"/>
        <w:gridCol w:w="679"/>
        <w:gridCol w:w="967"/>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liability</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3.680 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bl>
    <w:p>
      <w:pPr>
        <w:pStyle w:val="TextBody"/>
        <w:bidi w:val="0"/>
        <w:spacing w:before="120" w:after="283"/>
        <w:jc w:val="left"/>
        <w:rPr/>
      </w:pPr>
      <w:r>
        <w:rPr/>
      </w:r>
    </w:p>
    <w:tbl>
      <w:tblPr>
        <w:tblW w:w="9655" w:type="dxa"/>
        <w:jc w:val="left"/>
        <w:tblInd w:w="0" w:type="dxa"/>
        <w:tblLayout w:type="fixed"/>
        <w:tblCellMar>
          <w:top w:w="28" w:type="dxa"/>
          <w:left w:w="28" w:type="dxa"/>
          <w:bottom w:w="28" w:type="dxa"/>
          <w:right w:w="28" w:type="dxa"/>
        </w:tblCellMar>
      </w:tblPr>
      <w:tblGrid>
        <w:gridCol w:w="630"/>
        <w:gridCol w:w="552"/>
        <w:gridCol w:w="557"/>
        <w:gridCol w:w="211"/>
        <w:gridCol w:w="856"/>
        <w:gridCol w:w="109"/>
        <w:gridCol w:w="109"/>
        <w:gridCol w:w="109"/>
        <w:gridCol w:w="109"/>
        <w:gridCol w:w="323"/>
        <w:gridCol w:w="323"/>
        <w:gridCol w:w="536"/>
        <w:gridCol w:w="109"/>
        <w:gridCol w:w="109"/>
        <w:gridCol w:w="109"/>
        <w:gridCol w:w="354"/>
        <w:gridCol w:w="354"/>
        <w:gridCol w:w="356"/>
        <w:gridCol w:w="109"/>
        <w:gridCol w:w="109"/>
        <w:gridCol w:w="109"/>
        <w:gridCol w:w="211"/>
        <w:gridCol w:w="541"/>
        <w:gridCol w:w="109"/>
        <w:gridCol w:w="109"/>
        <w:gridCol w:w="109"/>
        <w:gridCol w:w="109"/>
        <w:gridCol w:w="679"/>
        <w:gridCol w:w="679"/>
        <w:gridCol w:w="96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liability</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3.680 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9, Fair Value Measurements, for additional disclosures regarding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effects of the interest rate swaps on the accompanying Condensed Consolidated Statements of Comprehensive Income for the three and six months ended June 30, 2026 and 2025 (in thousands):</w:t>
      </w:r>
    </w:p>
    <w:tbl>
      <w:tblPr>
        <w:tblW w:w="7179" w:type="dxa"/>
        <w:jc w:val="left"/>
        <w:tblInd w:w="0" w:type="dxa"/>
        <w:tblLayout w:type="fixed"/>
        <w:tblCellMar>
          <w:top w:w="28" w:type="dxa"/>
          <w:left w:w="28" w:type="dxa"/>
          <w:bottom w:w="28" w:type="dxa"/>
          <w:right w:w="28" w:type="dxa"/>
        </w:tblCellMar>
      </w:tblPr>
      <w:tblGrid>
        <w:gridCol w:w="647"/>
        <w:gridCol w:w="567"/>
        <w:gridCol w:w="571"/>
        <w:gridCol w:w="223"/>
        <w:gridCol w:w="685"/>
        <w:gridCol w:w="115"/>
        <w:gridCol w:w="115"/>
        <w:gridCol w:w="115"/>
        <w:gridCol w:w="115"/>
        <w:gridCol w:w="223"/>
        <w:gridCol w:w="749"/>
        <w:gridCol w:w="115"/>
        <w:gridCol w:w="109"/>
        <w:gridCol w:w="109"/>
        <w:gridCol w:w="109"/>
        <w:gridCol w:w="247"/>
        <w:gridCol w:w="565"/>
        <w:gridCol w:w="128"/>
        <w:gridCol w:w="128"/>
        <w:gridCol w:w="128"/>
        <w:gridCol w:w="128"/>
        <w:gridCol w:w="247"/>
        <w:gridCol w:w="759"/>
        <w:gridCol w:w="128"/>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(Loss) Recognized</w:t>
              <w:br/>
              <w:t>in AOCI,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Reclassified</w:t>
              <w:br/>
              <w:t>from AOCI into Expense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(Loss) Recognized</w:t>
              <w:br/>
              <w:t>in AOCI,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Reclassified</w:t>
              <w:br/>
              <w:t>from AOCI into Expense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2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12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assets and (liabilities) at June 30, 2026 and December 31, 2025, respectively, that are measured at fair value on a recurring basis subsequent to initial recognition and indicates the fair value hierarchy of the valuation techniques utilized by us to determine such fair value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7849" w:type="dxa"/>
        <w:jc w:val="left"/>
        <w:tblInd w:w="0" w:type="dxa"/>
        <w:tblLayout w:type="fixed"/>
        <w:tblCellMar>
          <w:top w:w="28" w:type="dxa"/>
          <w:left w:w="28" w:type="dxa"/>
          <w:bottom w:w="28" w:type="dxa"/>
          <w:right w:w="28" w:type="dxa"/>
        </w:tblCellMar>
      </w:tblPr>
      <w:tblGrid>
        <w:gridCol w:w="1282"/>
        <w:gridCol w:w="1126"/>
        <w:gridCol w:w="1131"/>
        <w:gridCol w:w="175"/>
        <w:gridCol w:w="175"/>
        <w:gridCol w:w="176"/>
        <w:gridCol w:w="109"/>
        <w:gridCol w:w="109"/>
        <w:gridCol w:w="109"/>
        <w:gridCol w:w="211"/>
        <w:gridCol w:w="1081"/>
        <w:gridCol w:w="109"/>
        <w:gridCol w:w="109"/>
        <w:gridCol w:w="109"/>
        <w:gridCol w:w="109"/>
        <w:gridCol w:w="237"/>
        <w:gridCol w:w="1216"/>
        <w:gridCol w:w="122"/>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deferred compensation plan</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depository assets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obligations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(186,870)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debt securities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Bank debt, net</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(1,455,924)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purchase price liabilities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six months ended June 30, 2026 and 2025, there were no transfers between the valuation hierarchy Levels 1, 2, and 3. The Company reclassified its available-for-sale debt securities from Level 1 to Level 2 as these securities are not traded on an exchange as of June 30, 2026 and December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 in Level 3 fair values of our contingent purchase price liabilities for the six months ended June 30, 2026 and 2025 (pre-tax basis, in thousands):</w:t>
      </w:r>
    </w:p>
    <w:tbl>
      <w:tblPr>
        <w:tblW w:w="7137" w:type="dxa"/>
        <w:jc w:val="left"/>
        <w:tblInd w:w="0" w:type="dxa"/>
        <w:tblLayout w:type="fixed"/>
        <w:tblCellMar>
          <w:top w:w="28" w:type="dxa"/>
          <w:left w:w="28" w:type="dxa"/>
          <w:bottom w:w="28" w:type="dxa"/>
          <w:right w:w="28" w:type="dxa"/>
        </w:tblCellMar>
      </w:tblPr>
      <w:tblGrid>
        <w:gridCol w:w="1591"/>
        <w:gridCol w:w="1399"/>
        <w:gridCol w:w="1404"/>
        <w:gridCol w:w="211"/>
        <w:gridCol w:w="811"/>
        <w:gridCol w:w="109"/>
        <w:gridCol w:w="109"/>
        <w:gridCol w:w="109"/>
        <w:gridCol w:w="109"/>
        <w:gridCol w:w="211"/>
        <w:gridCol w:w="811"/>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from business acquisitions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contingent purchase price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contingencies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net present value of contingencies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 –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1080"/>
        <w:jc w:val="left"/>
        <w:rPr>
          <w:rFonts w:ascii="Arial;sans-serif" w:hAnsi="Arial;sans-serif"/>
          <w:b w:val="false"/>
          <w:color w:val="000000"/>
          <w:sz w:val="20"/>
        </w:rPr>
      </w:pPr>
      <w:r>
        <w:rPr>
          <w:rFonts w:ascii="Arial;sans-serif" w:hAnsi="Arial;sans-serif"/>
          <w:b w:val="false"/>
          <w:color w:val="000000"/>
          <w:sz w:val="20"/>
        </w:rPr>
        <w:t>The following table summarizes the changes in contingent purchase price consideration for previous acquisitions and contingent payments made for previous business acquisitions in the three and six months ended June 30, 2026 and 2025, respectively (in thousands):</w:t>
      </w:r>
    </w:p>
    <w:tbl>
      <w:tblPr>
        <w:tblW w:w="7560" w:type="dxa"/>
        <w:jc w:val="left"/>
        <w:tblInd w:w="0" w:type="dxa"/>
        <w:tblLayout w:type="fixed"/>
        <w:tblCellMar>
          <w:top w:w="28" w:type="dxa"/>
          <w:left w:w="28" w:type="dxa"/>
          <w:bottom w:w="28" w:type="dxa"/>
          <w:right w:w="28" w:type="dxa"/>
        </w:tblCellMar>
      </w:tblPr>
      <w:tblGrid>
        <w:gridCol w:w="814"/>
        <w:gridCol w:w="716"/>
        <w:gridCol w:w="720"/>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settlement paid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Shares issued (number)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Refer to Note 8, Fair Value Measurements, to the consolidated financial statements contained in our Annual Report on Form 10-K for the year ended December 31, 2025, as amended, for further discussion on the fair value measurements and classification of our financial assets and liabilities.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OTHER COMPREHENSIVE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is a summary of other comprehensive income (loss) and discloses the tax impact of each component of other comprehensive income (loss)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860"/>
        <w:gridCol w:w="1627"/>
        <w:gridCol w:w="1634"/>
        <w:gridCol w:w="220"/>
        <w:gridCol w:w="675"/>
        <w:gridCol w:w="113"/>
        <w:gridCol w:w="113"/>
        <w:gridCol w:w="113"/>
        <w:gridCol w:w="113"/>
        <w:gridCol w:w="220"/>
        <w:gridCol w:w="723"/>
        <w:gridCol w:w="113"/>
        <w:gridCol w:w="109"/>
        <w:gridCol w:w="109"/>
        <w:gridCol w:w="109"/>
        <w:gridCol w:w="211"/>
        <w:gridCol w:w="646"/>
        <w:gridCol w:w="109"/>
        <w:gridCol w:w="109"/>
        <w:gridCol w:w="109"/>
        <w:gridCol w:w="109"/>
        <w:gridCol w:w="211"/>
        <w:gridCol w:w="691"/>
        <w:gridCol w:w="159"/>
      </w:tblGrid>
      <w:tr>
        <w:trPr/>
        <w:tc>
          <w:tcPr>
            <w:tcW w:w="186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Net unrealized (loss) gain on available-for-sale securities, net of taxes</w:t>
            </w:r>
            <w:r>
              <w:rPr>
                <w:rFonts w:ascii="Arial;sans-serif" w:hAnsi="Arial;sans-serif"/>
                <w:b w:val="false"/>
                <w:color w:val="000000"/>
                <w:sz w:val="13"/>
              </w:rPr>
              <w:t>(1)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Net unrealized gain (loss) on interest rate swaps, net of taxes</w:t>
            </w:r>
            <w:r>
              <w:rPr>
                <w:rFonts w:ascii="Arial;sans-serif" w:hAnsi="Arial;sans-serif"/>
                <w:b w:val="false"/>
                <w:color w:val="000000"/>
                <w:sz w:val="13"/>
              </w:rPr>
              <w:t>(2)</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 xml:space="preserve">Net of income tax benefit of $39 thousand and income tax expense of $22 thousand for the three months ended June 30, 2026 and 2025, respectively. Net of income tax expense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$138 thousand and $51 thousand for the six months ended June 30, 2026 and 2025, respectively.</w:t>
      </w:r>
    </w:p>
    <w:p>
      <w:pPr>
        <w:pStyle w:val="TextBody"/>
        <w:bidi w:val="0"/>
        <w:spacing w:lineRule="auto" w:line="288" w:before="0" w:after="0"/>
        <w:ind w:left="0" w:right="0" w:hanging="900"/>
        <w:jc w:val="left"/>
        <w:rPr/>
      </w:pPr>
      <w:r>
        <w:rPr>
          <w:rFonts w:ascii="Arial;sans-serif" w:hAnsi="Arial;sans-serif"/>
          <w:b w:val="false"/>
          <w:color w:val="000000"/>
          <w:sz w:val="13"/>
        </w:rPr>
        <w:t>(2)</w:t>
      </w:r>
      <w:r>
        <w:rPr>
          <w:rFonts w:ascii="Arial;sans-serif" w:hAnsi="Arial;sans-serif"/>
          <w:b w:val="false"/>
          <w:color w:val="000000"/>
          <w:sz w:val="20"/>
        </w:rPr>
        <w:t>Net of income tax expense of $616 thousand and income tax benefit of $722 thousanrd for the three months ended June 30, 2026 and 2025, respectively. Net of income tax expense of $1,277 thousand and income tax benefit of $1,156 thousand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11. COMMON STOCK</w:t>
      </w:r>
    </w:p>
    <w:p>
      <w:pPr>
        <w:pStyle w:val="TextBody"/>
        <w:bidi w:val="0"/>
        <w:spacing w:lineRule="auto" w:line="288" w:before="120" w:after="283"/>
        <w:jc w:val="left"/>
        <w:rPr/>
      </w:pPr>
      <w:r>
        <w:rPr>
          <w:rFonts w:ascii="Arial;sans-serif" w:hAnsi="Arial;sans-serif"/>
          <w:b/>
          <w:color w:val="000000"/>
          <w:sz w:val="20"/>
        </w:rPr>
        <w:t xml:space="preserve">Common Stock Issued for the Marcum Transaction - </w:t>
      </w:r>
      <w:r>
        <w:rPr>
          <w:rFonts w:ascii="Arial;sans-serif" w:hAnsi="Arial;sans-serif"/>
          <w:b w:val="false"/>
          <w:color w:val="000000"/>
          <w:sz w:val="20"/>
        </w:rPr>
        <w:t>Pursuant to the Marcum Merger Agreement and as part of the total purchase price consideration, we issued shares of our common stock to the selling shareholders in the Marcum Transaction. Refer to Note 4, Business Combinations, for more detail.</w:t>
      </w:r>
    </w:p>
    <w:p>
      <w:pPr>
        <w:pStyle w:val="TextBody"/>
        <w:bidi w:val="0"/>
        <w:spacing w:lineRule="auto" w:line="288" w:before="120" w:after="283"/>
        <w:jc w:val="left"/>
        <w:rPr/>
      </w:pPr>
      <w:r>
        <w:rPr>
          <w:rFonts w:ascii="Arial;sans-serif" w:hAnsi="Arial;sans-serif"/>
          <w:b/>
          <w:color w:val="000000"/>
          <w:sz w:val="20"/>
        </w:rPr>
        <w:t>Right of First Refusal Program -</w:t>
      </w:r>
      <w:r>
        <w:rPr>
          <w:color w:val="000000"/>
        </w:rPr>
        <w:t xml:space="preserve"> </w:t>
      </w:r>
      <w:r>
        <w:rPr>
          <w:rFonts w:ascii="Arial;sans-serif" w:hAnsi="Arial;sans-serif"/>
          <w:b w:val="false"/>
          <w:color w:val="000000"/>
          <w:sz w:val="20"/>
        </w:rPr>
        <w:t>Pursuant to the Marcum Merger Agreement, the Company and selling shareholders entered into a Right of First Refusal Agreement (the “ROFR Agreement”). Under the ROFR Agreement, the selling shareholders granted the Company a right of first refusal to repurchase all or any portion of our common stock issued to the selling shareholders pursuant to the Marcum Merger Agreement. The Company holds the right of first refusal until November 1, 2028.</w:t>
      </w:r>
    </w:p>
    <w:p>
      <w:pPr>
        <w:pStyle w:val="TextBody"/>
        <w:bidi w:val="0"/>
        <w:spacing w:lineRule="auto" w:line="288" w:before="120" w:after="283"/>
        <w:jc w:val="left"/>
        <w:rPr/>
      </w:pPr>
      <w:r>
        <w:rPr>
          <w:rFonts w:ascii="Arial;sans-serif" w:hAnsi="Arial;sans-serif"/>
          <w:b/>
          <w:color w:val="000000"/>
          <w:sz w:val="20"/>
        </w:rPr>
        <w:t>Share Repurchase Program</w:t>
      </w:r>
      <w:r>
        <w:rPr>
          <w:color w:val="000000"/>
        </w:rPr>
        <w:t xml:space="preserve"> </w:t>
      </w:r>
      <w:r>
        <w:rPr>
          <w:rFonts w:ascii="Arial;sans-serif" w:hAnsi="Arial;sans-serif"/>
          <w:b w:val="false"/>
          <w:color w:val="000000"/>
          <w:sz w:val="20"/>
        </w:rPr>
        <w:t>- Over the past twenty years, our Board of Directors has annually renewed the Company’s Share Repurchase Program. On February 11, 2025, the Board of Directors renewed and authorized the Share Repurchase Program, permitting repurchases through March 31, 2026, of up to 5 million shares of our outstanding common stock (i) in the open market, (ii) in privately negotiated transactions, or (iii) under Rule 10b5-1 trading plans. On February 11, 2026, our Board of Directors authorized the continuation of the Share Repurchase Program. The continuation of the Share Repurchase Program was effective beginning on February 11, 2026 at which time the amount of shares of common stock available to be purchased by the Company was reset to 5 million shares. The Share Repurchase Program expires on March 31, 2027.</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Privately negotiated transactions may include repurchases from employees, officers and directors and repurchases from former partners of Marcum pursuant to the ROFR Agreement, as discussed above.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14, Common Stock, to the consolidated financial statements contained in our Annual Report on Form 10-K for the year ended December 31, 2025, as amended, for more detail about the Share Repurchase Program.</w:t>
      </w:r>
    </w:p>
    <w:p>
      <w:pPr>
        <w:pStyle w:val="TextBody"/>
        <w:bidi w:val="0"/>
        <w:spacing w:lineRule="auto" w:line="288" w:before="120" w:after="283"/>
        <w:jc w:val="left"/>
        <w:rPr/>
      </w:pPr>
      <w:r>
        <w:rPr>
          <w:rFonts w:ascii="Arial;sans-serif" w:hAnsi="Arial;sans-serif"/>
          <w:b w:val="false"/>
          <w:color w:val="000000"/>
          <w:sz w:val="20"/>
        </w:rPr>
        <w:t>We repurchased 0.2 million shares of our common stock for a total cost of $7.4 million under the ROFR Agreement and 2.1 million shares of our common stock in the open market for $60.1 million during the six</w:t>
      </w:r>
      <w:r>
        <w:rPr>
          <w:color w:val="000000"/>
        </w:rPr>
        <w:t xml:space="preserve"> </w:t>
      </w:r>
      <w:r>
        <w:rPr>
          <w:rFonts w:ascii="Arial;sans-serif" w:hAnsi="Arial;sans-serif"/>
          <w:b w:val="false"/>
          <w:color w:val="000000"/>
          <w:sz w:val="20"/>
        </w:rPr>
        <w:t>months ended June 30, 2026. During the six months ended June 30, 2025, we repurchased 1.0 million shares of our common stock for a cost of $71.3 million under the ROFR Agreement and no share repurchases from the open market. Additionally, to settle statutory employee withholdings related to vesting of stock awards, we repurchased 0.1 million shares of our common stock at a cost of $2.6 million during the six</w:t>
      </w:r>
      <w:r>
        <w:rPr>
          <w:color w:val="000000"/>
        </w:rPr>
        <w:t xml:space="preserve"> </w:t>
      </w:r>
      <w:r>
        <w:rPr>
          <w:rFonts w:ascii="Arial;sans-serif" w:hAnsi="Arial;sans-serif"/>
          <w:b w:val="false"/>
          <w:color w:val="000000"/>
          <w:sz w:val="20"/>
        </w:rPr>
        <w:t>months ended June 30, 2026 and 0.1 million shares at a cost of $7.8 million during the six</w:t>
      </w:r>
      <w:r>
        <w:rPr>
          <w:color w:val="000000"/>
        </w:rPr>
        <w:t xml:space="preserve"> </w:t>
      </w:r>
      <w:r>
        <w:rPr>
          <w:rFonts w:ascii="Arial;sans-serif" w:hAnsi="Arial;sans-serif"/>
          <w:b w:val="false"/>
          <w:color w:val="000000"/>
          <w:sz w:val="20"/>
        </w:rPr>
        <w:t>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12. EMPLOYEE STOCK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granted various stock-based awards under the CBIZ, Inc. 2019 Stock Omnibus Incentive Plan, as amended (the “2019 Plan”). The 2019 Plan, which expires in 2029, permits a maximum of 4.6 million stock options, restricted stock or other stock-based compensation awards to be granted. The terms and vesting schedules for the stock-based awards vary by type and date of grant. Shares subject to award under the 2019 Plan may be either authorized but unissued shares of our common stock or treasury shares. Refer to Note 15, Employee Stock Plans to the consolidated financial statements contained in our Annual Report on Form 10-K for the year ended December 31, 2025, as amended, for further discussion on the 2019 Plan and descriptions of the types of stock-based awards.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Compensation expense for stock-based awards recognized during the three and six months ended June 30, 2026 and 2025 was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8849" w:type="dxa"/>
        <w:jc w:val="left"/>
        <w:tblInd w:w="0" w:type="dxa"/>
        <w:tblLayout w:type="fixed"/>
        <w:tblCellMar>
          <w:top w:w="28" w:type="dxa"/>
          <w:left w:w="28" w:type="dxa"/>
          <w:bottom w:w="28" w:type="dxa"/>
          <w:right w:w="28" w:type="dxa"/>
        </w:tblCellMar>
      </w:tblPr>
      <w:tblGrid>
        <w:gridCol w:w="1356"/>
        <w:gridCol w:w="1193"/>
        <w:gridCol w:w="1200"/>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and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Stock Options and Restricted Stock Units and Awards –</w:t>
      </w:r>
      <w:r>
        <w:rPr>
          <w:color w:val="000000"/>
        </w:rPr>
        <w:t> </w:t>
      </w:r>
      <w:r>
        <w:rPr>
          <w:rFonts w:ascii="Arial;sans-serif" w:hAnsi="Arial;sans-serif"/>
          <w:b w:val="false"/>
          <w:color w:val="000000"/>
          <w:sz w:val="20"/>
        </w:rPr>
        <w:t>The Company did not grant any stock options, nor were any stock options exercised during the six months ended June 30, 2026. As of June 30, 2026, we have 150 thousand stock options outstanding with a weighted average exercise price per share of $35.22.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six months ended June 30, 2026, the Company granted a total of 698 thousand Restricted Stock Units ("RSU") to certain employees, of which 324 thousand RSUs vest on the third anniversary of the grant date, 99 thousand RSUs vest on the second anniversary of the grant date, and 275 thousand RSUs vest evenly over three years. Additionally, 42 thousand Restricted Stock Awards ("RSA") were granted to non-employee directors.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restricted stock units and awards activity during the six months ended June 30, 2026 (in thousands, except per share unit data):</w:t>
      </w:r>
    </w:p>
    <w:tbl>
      <w:tblPr>
        <w:tblW w:w="7953" w:type="dxa"/>
        <w:jc w:val="left"/>
        <w:tblInd w:w="0" w:type="dxa"/>
        <w:tblLayout w:type="fixed"/>
        <w:tblCellMar>
          <w:top w:w="28" w:type="dxa"/>
          <w:left w:w="28" w:type="dxa"/>
          <w:bottom w:w="28" w:type="dxa"/>
          <w:right w:w="28" w:type="dxa"/>
        </w:tblCellMar>
      </w:tblPr>
      <w:tblGrid>
        <w:gridCol w:w="1064"/>
        <w:gridCol w:w="936"/>
        <w:gridCol w:w="939"/>
        <w:gridCol w:w="109"/>
        <w:gridCol w:w="109"/>
        <w:gridCol w:w="572"/>
        <w:gridCol w:w="572"/>
        <w:gridCol w:w="572"/>
        <w:gridCol w:w="572"/>
        <w:gridCol w:w="575"/>
        <w:gridCol w:w="109"/>
        <w:gridCol w:w="109"/>
        <w:gridCol w:w="109"/>
        <w:gridCol w:w="335"/>
        <w:gridCol w:w="1026"/>
        <w:gridCol w:w="245"/>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 and Awards</w:t>
            </w:r>
          </w:p>
        </w:tc>
        <w:tc>
          <w:tcPr>
            <w:tcW w:w="1933" w:type="dxa"/>
            <w:gridSpan w:val="6"/>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w:t>
            </w:r>
            <w:r>
              <w:rPr>
                <w:color w:val="000000"/>
              </w:rPr>
              <w:t> </w:t>
            </w: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40" w:before="0" w:after="0"/>
              <w:jc w:val="center"/>
              <w:rPr/>
            </w:pPr>
            <w:r>
              <w:rPr>
                <w:rFonts w:ascii="Arial;sans-serif" w:hAnsi="Arial;sans-serif"/>
                <w:b/>
                <w:color w:val="000000"/>
                <w:sz w:val="16"/>
              </w:rPr>
              <w:t>Fair Value </w:t>
            </w:r>
            <w:r>
              <w:rPr>
                <w:rFonts w:ascii="Arial;sans-serif" w:hAnsi="Arial;sans-serif"/>
                <w:b/>
                <w:color w:val="000000"/>
                <w:sz w:val="10"/>
              </w:rPr>
              <w:t>(1)</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 or released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 or canceled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1,533 </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 xml:space="preserve">Represents weighted average market value of the shares; awards are granted at no cost to the recipients.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Arial;sans-serif" w:hAnsi="Arial;sans-serif"/>
          <w:b/>
          <w:color w:val="000000"/>
          <w:sz w:val="20"/>
        </w:rPr>
        <w:t>Performance Share Units (“PSUs”) – </w:t>
      </w:r>
      <w:r>
        <w:rPr>
          <w:rFonts w:ascii="Arial;sans-serif" w:hAnsi="Arial;sans-serif"/>
          <w:b w:val="false"/>
          <w:color w:val="000000"/>
          <w:sz w:val="20"/>
        </w:rPr>
        <w:t>PSUs are earned based on our financial performance over a contractual term of three years and the associated expense is recognized over that period based on the fair value of the award. A three-year cliff vesting schedule of the PSUs is dependent upon the Company’s performance measured against pre-established goals which are mainly based on a weighted combination of an earnings per share target and a total growth in revenue target or relative total shareholder return target. The fair value of PSUs is calculated using the market value of a share of our common stock on the date of grant. For performance achieved above specified levels, the recipient may earn additional shares of stock, not to exceed 200% of the number of PSUs initially granted, except for the PSUs granted in 2025 that shall not exceed 300%.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PSUs activity during the six months ended June 30, 2026 (in thousands, except per share unit data):</w:t>
      </w:r>
    </w:p>
    <w:tbl>
      <w:tblPr>
        <w:tblW w:w="6991" w:type="dxa"/>
        <w:jc w:val="left"/>
        <w:tblInd w:w="0" w:type="dxa"/>
        <w:tblLayout w:type="fixed"/>
        <w:tblCellMar>
          <w:top w:w="28" w:type="dxa"/>
          <w:left w:w="28" w:type="dxa"/>
          <w:bottom w:w="28" w:type="dxa"/>
          <w:right w:w="28" w:type="dxa"/>
        </w:tblCellMar>
      </w:tblPr>
      <w:tblGrid>
        <w:gridCol w:w="1064"/>
        <w:gridCol w:w="936"/>
        <w:gridCol w:w="939"/>
        <w:gridCol w:w="370"/>
        <w:gridCol w:w="370"/>
        <w:gridCol w:w="371"/>
        <w:gridCol w:w="109"/>
        <w:gridCol w:w="109"/>
        <w:gridCol w:w="109"/>
        <w:gridCol w:w="537"/>
        <w:gridCol w:w="1644"/>
        <w:gridCol w:w="27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Performance</w:t>
              <w:br/>
              <w:t>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 Average Grant-Date</w:t>
            </w:r>
          </w:p>
          <w:p>
            <w:pPr>
              <w:pStyle w:val="TableContents"/>
              <w:bidi w:val="0"/>
              <w:spacing w:lineRule="auto" w:line="240" w:before="0" w:after="0"/>
              <w:jc w:val="center"/>
              <w:rPr/>
            </w:pPr>
            <w:r>
              <w:rPr>
                <w:rFonts w:ascii="Arial;sans-serif" w:hAnsi="Arial;sans-serif"/>
                <w:b/>
                <w:color w:val="000000"/>
                <w:sz w:val="16"/>
              </w:rPr>
              <w:t xml:space="preserve">Fair Value Per Unit </w:t>
            </w:r>
            <w:r>
              <w:rPr>
                <w:rFonts w:ascii="Arial;sans-serif" w:hAnsi="Arial;sans-serif"/>
                <w:b/>
                <w:color w:val="000000"/>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900"/>
        <w:jc w:val="left"/>
        <w:rPr/>
      </w:pPr>
      <w:r>
        <w:rPr>
          <w:rFonts w:ascii="Arial;sans-serif" w:hAnsi="Arial;sans-serif"/>
          <w:b w:val="false"/>
          <w:color w:val="000000"/>
          <w:sz w:val="13"/>
        </w:rPr>
        <w:t>(1)</w:t>
      </w:r>
      <w:r>
        <w:rPr>
          <w:rFonts w:ascii="Arial;sans-serif" w:hAnsi="Arial;sans-serif"/>
          <w:b w:val="false"/>
          <w:color w:val="000000"/>
          <w:sz w:val="20"/>
        </w:rPr>
        <w:t>Represents weighted average market value of the PSUs; PSUs are granted at no cost to the recipients.</w:t>
      </w:r>
    </w:p>
    <w:p>
      <w:pPr>
        <w:pStyle w:val="TextBody"/>
        <w:bidi w:val="0"/>
        <w:spacing w:before="10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 for the three and six months ended June 30, 2026 and 2025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4"/>
        <w:gridCol w:w="1490"/>
        <w:gridCol w:w="1500"/>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5"/>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Numerator:</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Denominator:</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Weighted average common shares outstanding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 options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stock units and awards </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Performance share units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Diluted weighted average common shares outstanding</w:t>
            </w:r>
            <w:r>
              <w:rPr>
                <w:color w:val="000000"/>
              </w:rPr>
              <w:t xml:space="preserve"> </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0"/>
        <w:jc w:val="left"/>
        <w:rPr/>
      </w:pPr>
      <w:r>
        <w:rPr>
          <w:rFonts w:ascii="Arial;sans-serif" w:hAnsi="Arial;sans-serif"/>
          <w:b w:val="false"/>
          <w:color w:val="000000"/>
          <w:sz w:val="13"/>
          <w:shd w:fill="FFFFFF" w:val="clear"/>
        </w:rPr>
        <w:t>(1)</w:t>
      </w:r>
      <w:r>
        <w:rPr>
          <w:rFonts w:ascii="Arial;sans-serif" w:hAnsi="Arial;sans-serif"/>
          <w:b w:val="false"/>
          <w:color w:val="000000"/>
          <w:sz w:val="20"/>
          <w:shd w:fill="FFFFFF" w:val="clear"/>
        </w:rPr>
        <w:t xml:space="preserve">A total of </w:t>
      </w:r>
      <w:r>
        <w:rPr>
          <w:rFonts w:ascii="Arial;sans-serif" w:hAnsi="Arial;sans-serif"/>
          <w:b w:val="false"/>
          <w:color w:val="000000"/>
          <w:sz w:val="20"/>
        </w:rPr>
        <w:t>850 thousand</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1,271 thousand shares of stock-based awards were excluded from the calculation of diluted earnings per share for the three and six months ended</w:t>
      </w:r>
      <w:r>
        <w:rPr>
          <w:color w:val="000000"/>
          <w:shd w:fill="FFFFFF" w:val="clear"/>
        </w:rPr>
        <w:t xml:space="preserve"> </w:t>
      </w:r>
      <w:r>
        <w:rPr>
          <w:rFonts w:ascii="Arial;sans-serif" w:hAnsi="Arial;sans-serif"/>
          <w:b w:val="false"/>
          <w:color w:val="000000"/>
          <w:sz w:val="20"/>
          <w:shd w:fill="FFFFFF" w:val="clear"/>
        </w:rPr>
        <w:t xml:space="preserve">June 30, 2026, respectively, as their effect would be anti-dilutive. A total of </w:t>
      </w:r>
      <w:r>
        <w:rPr>
          <w:rFonts w:ascii="Arial;sans-serif" w:hAnsi="Arial;sans-serif"/>
          <w:b w:val="false"/>
          <w:color w:val="000000"/>
          <w:sz w:val="20"/>
        </w:rPr>
        <w:t xml:space="preserve">63 thousand and 79 thousand shares of stock-based awards were excluded from the calculation of diluted earnings per share for the three and six months ended </w:t>
      </w:r>
      <w:r>
        <w:rPr>
          <w:rFonts w:ascii="Arial;sans-serif" w:hAnsi="Arial;sans-serif"/>
          <w:b w:val="false"/>
          <w:color w:val="000000"/>
          <w:sz w:val="20"/>
          <w:shd w:fill="FFFFFF" w:val="clear"/>
        </w:rPr>
        <w:t xml:space="preserve">June 30, 2025. </w:t>
      </w:r>
    </w:p>
    <w:p>
      <w:pPr>
        <w:pStyle w:val="TextBody"/>
        <w:bidi w:val="0"/>
        <w:spacing w:lineRule="auto" w:line="288" w:before="120" w:after="283"/>
        <w:ind w:left="0" w:right="0" w:hanging="900"/>
        <w:jc w:val="left"/>
        <w:rPr/>
      </w:pPr>
      <w:r>
        <w:rPr>
          <w:rFonts w:ascii="Arial;sans-serif" w:hAnsi="Arial;sans-serif"/>
          <w:b w:val="false"/>
          <w:color w:val="000000"/>
          <w:sz w:val="13"/>
          <w:shd w:fill="FFFFFF" w:val="clear"/>
        </w:rPr>
        <w:t>(2)</w:t>
      </w:r>
      <w:r>
        <w:rPr>
          <w:rFonts w:ascii="Arial;sans-serif" w:hAnsi="Arial;sans-serif"/>
          <w:b w:val="false"/>
          <w:color w:val="000000"/>
          <w:sz w:val="20"/>
        </w:rPr>
        <w:t xml:space="preserve">The denominator used in calculating diluted earnings per share did not include 367 thousand PSUs for the three and six months ended June 30, 2026. The denominator used in calculating diluted earnings per share did not include 239 thousand PSUs for the three and six months ended </w:t>
      </w:r>
      <w:r>
        <w:rPr>
          <w:rFonts w:ascii="Arial;sans-serif" w:hAnsi="Arial;sans-serif"/>
          <w:b w:val="false"/>
          <w:color w:val="000000"/>
          <w:sz w:val="20"/>
          <w:shd w:fill="FFFFFF" w:val="clear"/>
        </w:rPr>
        <w:t xml:space="preserve">June 30, 2025. </w:t>
      </w:r>
      <w:r>
        <w:rPr>
          <w:rFonts w:ascii="Arial;sans-serif" w:hAnsi="Arial;sans-serif"/>
          <w:b w:val="false"/>
          <w:color w:val="000000"/>
          <w:sz w:val="20"/>
        </w:rPr>
        <w:t>The performance conditions associated with these PSUs were not met and consequently none of these PSUs were considered as issuable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14. 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first quarter of 2026, we completed certain organizational changes which resulted in a change to our presentation of reportable segments. The National Practice practice group, which consisted of a single reporting unit, is now included in the Financial Services practice group to align the internal management and reporting structure with the services provided by the practice groups. As of February 28, 2026, immediately after the organizational changes, there are a total of five reporting units, of which three are within the Financial Services practice group and two are within the Benefits and Insurances practice group.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result of the aforementioned changes in reporting units, we performed a qualitative assessment immediately before the change in reporting units as it relates to the two reporting units impacted by the change. We concluded that it was more likely than not that the fair values of these reporting units immediately before the change exceeded their respective carrying values and, therefore, goodwill related to those reporting units immediately before the change was determined to not be impaired.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change in reporting units is considered a triggering event. We performed a quantitative assessment immediately after the change in reporting units by comparing the fair values of the reporting units to their respective carrying values. In measuring the estimated fair value of each reporting unit, we utilized a combination of an income approach and a market approach. Under the income approach, a discounted cash flow analysis is performed with estimates based on forecasted and projected operating cash flows, with significant assumptions related to revenue growth rates, profitability margins, and discount rates, which all vary among reporting units. The market approach utilizes the guideline public company method and is based on revenue and earnings multiple data derived from publicly traded peer group companies. Based on the results of the quantitative assessment, we concluded that the estimated fair values of our reporting units immediately after the change were in excess of their respective carrying values, and goodwill was not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first quarter of 2026, we experienced a decline in the Company's market capitalization. This decline, along with increases in discount rates used in the aforementioned quantitative impairment analysis, reduced the excess of fair value over carrying value of our Financial Accounting Services reporting unit within the Financial Services practice group and our Property and Casualty reporting unit within our Benefits and Insurance Services practice group as of March 31, 2026. During the second quarter of 2026, the Company's market capitalization improved, and we performed a qualitative assessment of its goodwill and concluded that it was more likely than not the fair values of the Company's reporting units exceeded their respective carrying value, and therefore, goodwill related to the Company's reporting units was determined to not be impaired.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It is possible, depending upon a number of factors that are not determinable at this time or within our control, that the fair value of one or more of our reporting units could decrease in the future, which could result in an impairment to goodwill. Such factors include failure to achieve the anticipated benefits of the Marcum Transaction, significant negative industry or economic trends, disruptions to our business, adverse changes resulting from new governmental regulations, negative impact on client list due to loss of customers, impact on client list due to declining revenue of existing customers, or divestitures. Additionally, further declines in our market capitalization may result in the need for impairment assessments in the future, which could result in the recognition of an impairment charge. Further, any significant adverse change in our near or long-term projections or macroeconomic conditions could result in future impairment charges, which could be 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summary of changes in the carrying amount of goodwill by operating segment for the six months ended June 30, 2026 is as follows (in thousands): </w:t>
      </w:r>
    </w:p>
    <w:tbl>
      <w:tblPr>
        <w:tblW w:w="9923" w:type="dxa"/>
        <w:jc w:val="left"/>
        <w:tblInd w:w="0" w:type="dxa"/>
        <w:tblLayout w:type="fixed"/>
        <w:tblCellMar>
          <w:top w:w="28" w:type="dxa"/>
          <w:left w:w="28" w:type="dxa"/>
          <w:bottom w:w="28" w:type="dxa"/>
          <w:right w:w="28" w:type="dxa"/>
        </w:tblCellMar>
      </w:tblPr>
      <w:tblGrid>
        <w:gridCol w:w="1305"/>
        <w:gridCol w:w="1144"/>
        <w:gridCol w:w="1151"/>
        <w:gridCol w:w="211"/>
        <w:gridCol w:w="1021"/>
        <w:gridCol w:w="109"/>
        <w:gridCol w:w="109"/>
        <w:gridCol w:w="109"/>
        <w:gridCol w:w="109"/>
        <w:gridCol w:w="211"/>
        <w:gridCol w:w="856"/>
        <w:gridCol w:w="109"/>
        <w:gridCol w:w="109"/>
        <w:gridCol w:w="109"/>
        <w:gridCol w:w="109"/>
        <w:gridCol w:w="283"/>
        <w:gridCol w:w="1010"/>
        <w:gridCol w:w="146"/>
        <w:gridCol w:w="109"/>
        <w:gridCol w:w="109"/>
        <w:gridCol w:w="109"/>
        <w:gridCol w:w="211"/>
        <w:gridCol w:w="1021"/>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National Practice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Goodwill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2,039,675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33,873</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2,413,786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impairment</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Goodwill, Net at December 31, 2025</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2,329,799</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Transfer - Gross goodwill</w:t>
            </w:r>
            <w:r>
              <w:rPr>
                <w:rFonts w:ascii="Arial;sans-serif" w:hAnsi="Arial;sans-serif"/>
                <w:b w:val="false"/>
                <w:color w:val="000000"/>
                <w:sz w:val="13"/>
              </w:rPr>
              <w:t>(1)</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Transfer - Accumulated impairment</w:t>
            </w:r>
            <w:r>
              <w:rPr>
                <w:rFonts w:ascii="Arial;sans-serif" w:hAnsi="Arial;sans-serif"/>
                <w:b w:val="false"/>
                <w:color w:val="000000"/>
                <w:sz w:val="13"/>
              </w:rPr>
              <w:t>(1)</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Goodwill at June 30, 2026</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2,425,256</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impairment</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(83,987)</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Goodwill, Net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2,008,764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332,505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2,341,269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0"/>
        <w:jc w:val="left"/>
        <w:rPr/>
      </w:pPr>
      <w:r>
        <w:rPr>
          <w:rFonts w:ascii="Arial;sans-serif" w:hAnsi="Arial;sans-serif"/>
          <w:b w:val="false"/>
          <w:color w:val="000000"/>
          <w:sz w:val="13"/>
          <w:shd w:fill="FFFFFF" w:val="clear"/>
        </w:rPr>
        <w:t>(1)</w:t>
      </w:r>
      <w:r>
        <w:rPr>
          <w:rFonts w:ascii="Arial;sans-serif" w:hAnsi="Arial;sans-serif"/>
          <w:b w:val="false"/>
          <w:color w:val="000000"/>
          <w:sz w:val="20"/>
          <w:shd w:fill="FFFFFF" w:val="clear"/>
        </w:rPr>
        <w:t>Reflects change in reporting units which is the transfer of the reporting unit previously included under the National Practice segment to the Financial Services segment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15. SEGMENT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discussed in Note 14. Goodwill, the National Practices reportable segment, which consisted of a single reporting unit, was combined with a reporting unit included in the Financial Services practice group to better align our current internal management information reviewed by Chief Operating Decision Maker and reporting structure with the services provided. As a result of these changes, we now operate with two reportable segments: Financial Services and Benefits and Insurances Services. Financial results of the Financial Service Practice Group for the three and six months ended June 30, 2025 were adjusted to reflect the change in reportable segments. </w:t>
      </w:r>
    </w:p>
    <w:p>
      <w:pPr>
        <w:pStyle w:val="TextBody"/>
        <w:bidi w:val="0"/>
        <w:spacing w:lineRule="auto" w:line="288" w:before="120" w:after="283"/>
        <w:jc w:val="left"/>
        <w:rPr/>
      </w:pPr>
      <w:r>
        <w:rPr>
          <w:rFonts w:ascii="Arial;sans-serif" w:hAnsi="Arial;sans-serif"/>
          <w:b w:val="false"/>
          <w:i/>
          <w:color w:val="000000"/>
          <w:sz w:val="20"/>
        </w:rPr>
        <w:t xml:space="preserve">Corporate and Other - </w:t>
      </w:r>
      <w:r>
        <w:rPr>
          <w:rFonts w:ascii="Arial;sans-serif" w:hAnsi="Arial;sans-serif"/>
          <w:b w:val="false"/>
          <w:color w:val="000000"/>
          <w:sz w:val="20"/>
        </w:rPr>
        <w:t>Included in 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Accounting policies of the practice groups are the same as those described in Note 1, Basis of Presentation and Significant Accounting Policies, to the Annual Report on Form 10-K for the year ended December 31, 2025, as amended. Upon consolidation, intercompany accounts and transactions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practice groups respective revenue and pre-tax income, significant segment expenses, and a reconciliation of segment profit or loss measure to the consolidated income before income tax expense for the three and six months ended June 30, 2026 and 2025 is presented below. The segment profit or loss measure for the three and six months ended June 30, 2025 has been restated and reflects the current two reportable segments. We do not manage our assets on a segment basis, therefore segment assets are not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information for the three months ended June 30, 2026 and 2025 was as follows (in thousands):</w:t>
      </w:r>
    </w:p>
    <w:tbl>
      <w:tblPr>
        <w:tblW w:w="8876" w:type="dxa"/>
        <w:jc w:val="left"/>
        <w:tblInd w:w="0" w:type="dxa"/>
        <w:tblLayout w:type="fixed"/>
        <w:tblCellMar>
          <w:top w:w="28" w:type="dxa"/>
          <w:left w:w="28" w:type="dxa"/>
          <w:bottom w:w="28" w:type="dxa"/>
          <w:right w:w="28" w:type="dxa"/>
        </w:tblCellMar>
      </w:tblPr>
      <w:tblGrid>
        <w:gridCol w:w="1684"/>
        <w:gridCol w:w="1481"/>
        <w:gridCol w:w="1484"/>
        <w:gridCol w:w="211"/>
        <w:gridCol w:w="856"/>
        <w:gridCol w:w="109"/>
        <w:gridCol w:w="109"/>
        <w:gridCol w:w="109"/>
        <w:gridCol w:w="109"/>
        <w:gridCol w:w="211"/>
        <w:gridCol w:w="856"/>
        <w:gridCol w:w="109"/>
        <w:gridCol w:w="109"/>
        <w:gridCol w:w="109"/>
        <w:gridCol w:w="109"/>
        <w:gridCol w:w="211"/>
        <w:gridCol w:w="85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580,324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682,206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444,993</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24,757</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116,412</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586,162</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96,044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76" w:type="dxa"/>
        <w:jc w:val="left"/>
        <w:tblInd w:w="0" w:type="dxa"/>
        <w:tblLayout w:type="fixed"/>
        <w:tblCellMar>
          <w:top w:w="28" w:type="dxa"/>
          <w:left w:w="28" w:type="dxa"/>
          <w:bottom w:w="28" w:type="dxa"/>
          <w:right w:w="28" w:type="dxa"/>
        </w:tblCellMar>
      </w:tblPr>
      <w:tblGrid>
        <w:gridCol w:w="1684"/>
        <w:gridCol w:w="1481"/>
        <w:gridCol w:w="1484"/>
        <w:gridCol w:w="211"/>
        <w:gridCol w:w="856"/>
        <w:gridCol w:w="109"/>
        <w:gridCol w:w="109"/>
        <w:gridCol w:w="109"/>
        <w:gridCol w:w="109"/>
        <w:gridCol w:w="211"/>
        <w:gridCol w:w="856"/>
        <w:gridCol w:w="109"/>
        <w:gridCol w:w="109"/>
        <w:gridCol w:w="109"/>
        <w:gridCol w:w="109"/>
        <w:gridCol w:w="211"/>
        <w:gridCol w:w="85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581,567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683,496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453,703</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26,834</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98,389</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578,926</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104,570</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9206" w:type="dxa"/>
        <w:jc w:val="left"/>
        <w:tblInd w:w="0" w:type="dxa"/>
        <w:tblLayout w:type="fixed"/>
        <w:tblCellMar>
          <w:top w:w="28" w:type="dxa"/>
          <w:left w:w="28" w:type="dxa"/>
          <w:bottom w:w="28" w:type="dxa"/>
          <w:right w:w="28" w:type="dxa"/>
        </w:tblCellMar>
      </w:tblPr>
      <w:tblGrid>
        <w:gridCol w:w="1684"/>
        <w:gridCol w:w="1481"/>
        <w:gridCol w:w="1484"/>
        <w:gridCol w:w="211"/>
        <w:gridCol w:w="1021"/>
        <w:gridCol w:w="109"/>
        <w:gridCol w:w="109"/>
        <w:gridCol w:w="109"/>
        <w:gridCol w:w="109"/>
        <w:gridCol w:w="211"/>
        <w:gridCol w:w="856"/>
        <w:gridCol w:w="109"/>
        <w:gridCol w:w="109"/>
        <w:gridCol w:w="109"/>
        <w:gridCol w:w="109"/>
        <w:gridCol w:w="211"/>
        <w:gridCol w:w="102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1,320,654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210,131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1,530,785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289,084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328,121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from acquisition related adjustment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06" w:type="dxa"/>
        <w:jc w:val="left"/>
        <w:tblInd w:w="0" w:type="dxa"/>
        <w:tblLayout w:type="fixed"/>
        <w:tblCellMar>
          <w:top w:w="28" w:type="dxa"/>
          <w:left w:w="28" w:type="dxa"/>
          <w:bottom w:w="28" w:type="dxa"/>
          <w:right w:w="28" w:type="dxa"/>
        </w:tblCellMar>
      </w:tblPr>
      <w:tblGrid>
        <w:gridCol w:w="1684"/>
        <w:gridCol w:w="1481"/>
        <w:gridCol w:w="1484"/>
        <w:gridCol w:w="211"/>
        <w:gridCol w:w="1021"/>
        <w:gridCol w:w="109"/>
        <w:gridCol w:w="109"/>
        <w:gridCol w:w="109"/>
        <w:gridCol w:w="109"/>
        <w:gridCol w:w="211"/>
        <w:gridCol w:w="856"/>
        <w:gridCol w:w="109"/>
        <w:gridCol w:w="109"/>
        <w:gridCol w:w="109"/>
        <w:gridCol w:w="109"/>
        <w:gridCol w:w="211"/>
        <w:gridCol w:w="102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1,306,605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214,905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1,521,510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291,067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45,913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336,980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900"/>
        <w:jc w:val="left"/>
        <w:rPr/>
      </w:pPr>
      <w:r>
        <w:rPr>
          <w:rFonts w:ascii="Arial;sans-serif" w:hAnsi="Arial;sans-serif"/>
          <w:b w:val="false"/>
          <w:color w:val="000000"/>
          <w:sz w:val="13"/>
        </w:rPr>
        <w:t>(1)</w:t>
      </w:r>
      <w:r>
        <w:rPr>
          <w:rFonts w:ascii="Arial;sans-serif" w:hAnsi="Arial;sans-serif"/>
          <w:b w:val="false"/>
          <w:color w:val="000000"/>
          <w:sz w:val="20"/>
        </w:rPr>
        <w:t>Other costs, gains, and losses, net primarily consist of travel and entertainment costs, computer and technology related costs, depreciation and amortization expenses, and other discretionary costs.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16. SUBSEQUENT EVENTS</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July 28, 2026, the Company entered into an Agreement and Plan of Merger (the “Merger Agreement”), by and among the Company, Viking ParentCo, Inc., a Delaware corporation (“Parent”), and Viking MergerCo, Inc., a Delaware corporation and a direct wholly owned subsidiary of Parent (“Merger Sub”), pursuant to which, upon the terms and subject to the conditions set forth therein,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Merger Sub will merge with and into the Company (the “Merger”), with the Company surviving the proposed Merger as a direct wholly owned subsidiary of Parent.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Pursuant to the Merger Agreement, upon the consummation of the proposed Merger transaction, each share of common stock, par value $0.01 per share, of the Company (the “Shares” and each a “Share”) issued and outstanding immediately prior to the effective time of the Merger (other than certain excluded shares as set forth in the Merger Agreement) will be converted into the right to receive $55.00 per share in cash, without interest thereon (the “Merger Consideration”). The Merger Agreement also provides for the treatment of the Company’s outstanding equity awards in accordance with its terms upon consummation of the proposed Merger.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completion of the proposed Merger is subject to customary closing conditions, including approval by the Company’s stockholders, the receipt of required regulatory approvals, the absence of any law or order prohibiting the consummation of the transaction and no material adverse effect having occurred since the signing of the Merger Agreement. The Merger Agreement also contains customary representations, warranties, covenants, and termination provisions.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the Merger Agreement is consummated, we will become a privately held company and our common stock will be delisted from the New York Stock Exchange and deregistered under the Securities Exchange Act of 1934, as amended.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copy of the Merger Agreement is incorporated by reference as Exhibit 2.1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Unless the context otherwise requires, references in this Quarterly Report on Form 10-Q to “we," “us," “our," "CBIZ" or the "Company" shall mean CBIZ, Inc., and its operating subsidiaries.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discussion is intended to assist in the understanding of our financial position at June 30, 2026 and December 31, 2025, results of operations for the three and six months ended June 30, 2026 and 2025, and cash flows for the six months ended June 30, 2026 and 2025, and should be read in conjunction with the unaudited condensed consolidated financial statements and related notes included elsewhere in this Quarterly Report on Form 10-Q and with our Annual Report on Form 10-K for the year ended December 31, 2025, as amended.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our Annual Report on Form 10-K for the year ended December 31, 2025, as amended.</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As discussed in Note 14, Goodwill, the National Practices practice group, which consisted of a single reporting unit, is now included in the Financial Services practice group to align our internal management and reporting structure with the services provided. As a result of these changes, we now operate with two reportable segments: Financial Services and Benefits and Insurances Services. Financial results of the Financial Service Practice Group for the three and six months ended June 30, 2025 were adjusted to reflect the change in reportable segments.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Annual Report on Form 10-K for the year ended December 31, 2025, as amended, for further discussion of our business and strategies, as well as the external relationships and regulatory factors that currently impact our operations.</w:t>
      </w:r>
    </w:p>
    <w:p>
      <w:pPr>
        <w:pStyle w:val="TextBody"/>
        <w:bidi w:val="0"/>
        <w:spacing w:before="120" w:after="283"/>
        <w:jc w:val="left"/>
        <w:rPr/>
      </w:pPr>
      <w:r>
        <w:rPr/>
      </w:r>
    </w:p>
    <w:p>
      <w:pPr>
        <w:pStyle w:val="TextBody"/>
        <w:bidi w:val="0"/>
        <w:spacing w:lineRule="auto" w:line="268" w:before="120" w:after="283"/>
        <w:jc w:val="left"/>
        <w:rPr>
          <w:rFonts w:ascii="Arial;sans-serif" w:hAnsi="Arial;sans-serif"/>
          <w:b/>
          <w:color w:val="000000"/>
          <w:sz w:val="20"/>
        </w:rPr>
      </w:pPr>
      <w:r>
        <w:rPr>
          <w:rFonts w:ascii="Arial;sans-serif" w:hAnsi="Arial;sans-serif"/>
          <w:b/>
          <w:color w:val="000000"/>
          <w:sz w:val="20"/>
        </w:rPr>
        <w:t>PROPOSED MERGER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July 28, 2026, the Company entered into an Agreement and Plan of Merger (the “Merger Agreement”), by and among the Company, Viking ParentCo., Inc. a Delaware corporation (“Parent”), and Viking MergerCo, Inc., a Delaware corporation and a direct wholly owned subsidiary of Parent (“Merger Sub”), pursuant to which, upon the terms and subject to the conditions set forth therein, Merger Sub will merge with and into the Company (the “Merger”), with the Company surviving the proposed Merger as a direct wholly owned subsidiary of Parent.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Pursuant to the Merger Agreement, upon the consummation of the proposed Merger transaction, each share of common stock, par value $0.01 per share, of the Company (the “Shares” and each a “Share”) issued and outstanding immediately prior to the effective time of the Merger (other than certain excluded shares as set forth in the Merger Agreement) will be converted into the right to receive $55.00 per share in cash, without interest thereon (the “Merger Consideration”). The Merger Agreement also provides for the treatment of the Company’s outstanding equity awards in accordance with its terms upon consummation of the proposed Merger.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16, “Subsequent Events” in Item 1 of this Form 10-Q for further details regarding the proposed Merger. See the section titled, “Risk Factors” included under Part II, Item 1A of this Report for more information regarding risks associated with the proposed Merger.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for the three months ended June 30, 2026 decreased by $1.3 million, or 0.2%, to $682.2 million from $683.5 million for the same period in 2025. Same-unit revenue decreased by approximately $3.5 million, or 0.5%, as compared to the same period in 2025. Revenue from newly acquired operations contributed $2.2 million of incremental revenue for the three months ended June 30, 2026, as compared to the same period in 2025. A detailed discussion of revenue for the three months ended June 30, 2026 by practice group is included under "Operating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for the six months ended June 30, 2026 increased by $9.3 million, or 0.6%, to $1,530.8 million from $1,521.5 million for the same period in 2025. Same-unit revenue increased by approximately $5.0 million or 0.3%, as compared to the same period in 2025. Revenue from newly acquired operations contributed $4.3 million of incremental revenue for the six months ended June 30, 2026, as compared to the same period in 2025. A detailed discussion of revenue for the six months ended June 30, 2026 by practice group is included under "Operating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June 30, 2026, net income was $18.6 million, or $0.31 per diluted share, compared to $41.9 million, or $0.66 per diluted share, for the same period in 2025. For the six months ended June 30, 2026, net income was $171.4 million, or $2.83 per diluted share, compared to $164.7 million, or $2.58 per diluted share, for the same period in 2025. Refer to “Results of Operations" for a detailed discussion of the components of net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uncertainty in the current economic and geopolitical environment may lead to softness in the demand for the nonrecurring project-based services we offer. We expect this softness in demand caused by the current economic and geopolitical environment could continue and may limit management's ability to accurately forecast demand for the remainder of 2026.</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Strategic Use of Capital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primary business objective is funding organic growth acceleration and meeting working capital needs. This includes investments in client service delivery and emerging technology that support revenue growth and enhance operational excellence. Following the completion of the Marcum Transaction, our second priority is to pay down debt to be at a net leverage ratio of less than 2.5x over time. As a result of the Marcum Transaction and related 2024 Credit Facilities, we have $1,473.5 million of outstanding debt under the 2024 Credit Facilities as of June 30, 2026. In addition, we believe that repurchasing shares of our common stock can be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 </w:t>
      </w:r>
    </w:p>
    <w:p>
      <w:pPr>
        <w:pStyle w:val="TextBody"/>
        <w:bidi w:val="0"/>
        <w:spacing w:lineRule="auto" w:line="268" w:before="120" w:after="283"/>
        <w:jc w:val="left"/>
        <w:rPr/>
      </w:pPr>
      <w:r>
        <w:rPr>
          <w:rFonts w:ascii="Arial;sans-serif" w:hAnsi="Arial;sans-serif"/>
          <w:b w:val="false"/>
          <w:color w:val="000000"/>
          <w:sz w:val="20"/>
        </w:rPr>
        <w:t>During the six months ended June 30, 2026, we repurchased 0.2 million shares of our common stock for a total cost of $7.4 million under the ROFR Agreement and 2.1 million shares of our common stock in the open market for $60.1 million pursuant to our Share Repurchase Program (defined below). Additionally, to settle statutory employee withholdings related to vesting of stock awards, we repurchased 0.1 million shares of our common stock at a cost of $2.6 million during the six</w:t>
      </w:r>
      <w:r>
        <w:rPr>
          <w:color w:val="000000"/>
        </w:rPr>
        <w:t xml:space="preserve"> </w:t>
      </w:r>
      <w:r>
        <w:rPr>
          <w:rFonts w:ascii="Arial;sans-serif" w:hAnsi="Arial;sans-serif"/>
          <w:b w:val="false"/>
          <w:color w:val="000000"/>
          <w:sz w:val="20"/>
        </w:rPr>
        <w:t>months ended June 30, 2026. During the six months ended June 30, 2025, we repurchased 1.0 million shares of our common stock for a cost of $71.3 million under the ROFR Agreement and no share repurchases from the open market. To settle statutory employee withholdings related to vesting of stock awards, we repurchased 0.1 million shares at a cost of $7.8 million during the six</w:t>
      </w:r>
      <w:r>
        <w:rPr>
          <w:color w:val="000000"/>
        </w:rPr>
        <w:t xml:space="preserve"> </w:t>
      </w:r>
      <w:r>
        <w:rPr>
          <w:rFonts w:ascii="Arial;sans-serif" w:hAnsi="Arial;sans-serif"/>
          <w:b w:val="false"/>
          <w:color w:val="000000"/>
          <w:sz w:val="20"/>
        </w:rPr>
        <w:t>months ended June 30, 2025. Refer to Note 11, Common Stock, to the accompanying unaudited condensed consolidated financial statements for further details.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11, 2026, the CBIZ Board of Directors authorized the purchase of up to 5.0 million shares of our common stock under our share repurchase program (the “Share Repurchase Program”), which may be suspended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or discontinued at any time and expires on March 31, 2027.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("SEC") rules. CBIZ management will determine the timing and amount of the purchases based on its evaluation of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total revenue for the three and six months ended June 30, 2026 and 2025:</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717"/>
        <w:gridCol w:w="596"/>
        <w:gridCol w:w="598"/>
        <w:gridCol w:w="211"/>
        <w:gridCol w:w="1021"/>
        <w:gridCol w:w="109"/>
        <w:gridCol w:w="109"/>
        <w:gridCol w:w="109"/>
        <w:gridCol w:w="109"/>
        <w:gridCol w:w="322"/>
        <w:gridCol w:w="324"/>
        <w:gridCol w:w="291"/>
        <w:gridCol w:w="109"/>
        <w:gridCol w:w="109"/>
        <w:gridCol w:w="109"/>
        <w:gridCol w:w="211"/>
        <w:gridCol w:w="1021"/>
        <w:gridCol w:w="109"/>
        <w:gridCol w:w="109"/>
        <w:gridCol w:w="109"/>
        <w:gridCol w:w="109"/>
        <w:gridCol w:w="322"/>
        <w:gridCol w:w="324"/>
        <w:gridCol w:w="291"/>
        <w:gridCol w:w="109"/>
        <w:gridCol w:w="109"/>
        <w:gridCol w:w="109"/>
        <w:gridCol w:w="211"/>
        <w:gridCol w:w="751"/>
        <w:gridCol w:w="109"/>
        <w:gridCol w:w="109"/>
        <w:gridCol w:w="109"/>
        <w:gridCol w:w="109"/>
        <w:gridCol w:w="232"/>
        <w:gridCol w:w="232"/>
        <w:gridCol w:w="411"/>
        <w:gridCol w:w="157"/>
      </w:tblGrid>
      <w:tr>
        <w:trPr/>
        <w:tc>
          <w:tcPr>
            <w:tcW w:w="71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CBIZ</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CBIZ</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40" w:after="283"/>
        <w:ind w:left="0" w:right="0" w:hanging="630"/>
        <w:jc w:val="left"/>
        <w:rPr/>
      </w:pPr>
      <w:r>
        <w:rPr>
          <w:rFonts w:ascii="Arial;sans-serif" w:hAnsi="Arial;sans-serif"/>
          <w:b w:val="false"/>
          <w:color w:val="000000"/>
          <w:sz w:val="13"/>
        </w:rPr>
        <w:t>(1)</w:t>
      </w:r>
      <w:r>
        <w:rPr>
          <w:rFonts w:ascii="Arial;sans-serif" w:hAnsi="Arial;sans-serif"/>
          <w:b w:val="false"/>
          <w:color w:val="000000"/>
          <w:sz w:val="20"/>
        </w:rPr>
        <w:t xml:space="preserve">During the six months ended June 30, 2026, the National Practice practice group was combined with the Financial Service practice group to better align with internal management and reporting structure. As a result, the Financial Services revenue for the three and six months ended June 30, 2025 was adjusted to reflect this change.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Non-qualified Deferred Compensation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sponsor a Non-qualified Deferred Compensation Plan (the "deferred compensation plan"), under which a CBIZ employee’s compensation deferral is held in a rabbi trust and invested accordingly as directed by the employee.The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are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13, Employee Benefits, to the consolidated financial statements contained in our Annual Report on Form 10-K for the year ended December 31, 2025, as amended, for further discussion on the Non-qualified Deferred Compensation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and expenses related to the deferred compensation plan assets for the three and six months ended June 30, 2026 and 2025 were recorded as follows (in thousands, except percentages):</w:t>
      </w:r>
    </w:p>
    <w:tbl>
      <w:tblPr>
        <w:tblW w:w="9446" w:type="dxa"/>
        <w:jc w:val="left"/>
        <w:tblInd w:w="0" w:type="dxa"/>
        <w:tblLayout w:type="fixed"/>
        <w:tblCellMar>
          <w:top w:w="28" w:type="dxa"/>
          <w:left w:w="28" w:type="dxa"/>
          <w:bottom w:w="28" w:type="dxa"/>
          <w:right w:w="28" w:type="dxa"/>
        </w:tblCellMar>
      </w:tblPr>
      <w:tblGrid>
        <w:gridCol w:w="1418"/>
        <w:gridCol w:w="1247"/>
        <w:gridCol w:w="124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statement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&amp;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Excluding the impact of the above-mentioned income and expenses related to the deferred compensation plan, the operating results for the three and six months ended June 30, 2026 and 2025 were as follows:</w:t>
      </w:r>
    </w:p>
    <w:tbl>
      <w:tblPr>
        <w:tblW w:w="10629" w:type="dxa"/>
        <w:jc w:val="center"/>
        <w:tblInd w:w="0" w:type="dxa"/>
        <w:tblLayout w:type="fixed"/>
        <w:tblCellMar>
          <w:top w:w="28" w:type="dxa"/>
          <w:left w:w="28" w:type="dxa"/>
          <w:bottom w:w="28" w:type="dxa"/>
          <w:right w:w="28" w:type="dxa"/>
        </w:tblCellMar>
      </w:tblPr>
      <w:tblGrid>
        <w:gridCol w:w="407"/>
        <w:gridCol w:w="237"/>
        <w:gridCol w:w="197"/>
        <w:gridCol w:w="196"/>
        <w:gridCol w:w="646"/>
        <w:gridCol w:w="109"/>
        <w:gridCol w:w="109"/>
        <w:gridCol w:w="109"/>
        <w:gridCol w:w="109"/>
        <w:gridCol w:w="207"/>
        <w:gridCol w:w="683"/>
        <w:gridCol w:w="116"/>
        <w:gridCol w:w="109"/>
        <w:gridCol w:w="109"/>
        <w:gridCol w:w="109"/>
        <w:gridCol w:w="196"/>
        <w:gridCol w:w="646"/>
        <w:gridCol w:w="109"/>
        <w:gridCol w:w="109"/>
        <w:gridCol w:w="109"/>
        <w:gridCol w:w="109"/>
        <w:gridCol w:w="233"/>
        <w:gridCol w:w="233"/>
        <w:gridCol w:w="350"/>
        <w:gridCol w:w="109"/>
        <w:gridCol w:w="109"/>
        <w:gridCol w:w="109"/>
        <w:gridCol w:w="196"/>
        <w:gridCol w:w="646"/>
        <w:gridCol w:w="109"/>
        <w:gridCol w:w="109"/>
        <w:gridCol w:w="109"/>
        <w:gridCol w:w="109"/>
        <w:gridCol w:w="207"/>
        <w:gridCol w:w="683"/>
        <w:gridCol w:w="116"/>
        <w:gridCol w:w="109"/>
        <w:gridCol w:w="109"/>
        <w:gridCol w:w="109"/>
        <w:gridCol w:w="196"/>
        <w:gridCol w:w="646"/>
        <w:gridCol w:w="109"/>
        <w:gridCol w:w="109"/>
        <w:gridCol w:w="109"/>
        <w:gridCol w:w="109"/>
        <w:gridCol w:w="233"/>
        <w:gridCol w:w="233"/>
        <w:gridCol w:w="401"/>
      </w:tblGrid>
      <w:tr>
        <w:trPr/>
        <w:tc>
          <w:tcPr>
            <w:tcW w:w="4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9788"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(Amounts in thousands, except percentages)</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4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989" w:type="dxa"/>
        <w:jc w:val="left"/>
        <w:tblInd w:w="0" w:type="dxa"/>
        <w:tblLayout w:type="fixed"/>
        <w:tblCellMar>
          <w:top w:w="28" w:type="dxa"/>
          <w:left w:w="28" w:type="dxa"/>
          <w:bottom w:w="28" w:type="dxa"/>
          <w:right w:w="28" w:type="dxa"/>
        </w:tblCellMar>
      </w:tblPr>
      <w:tblGrid>
        <w:gridCol w:w="407"/>
        <w:gridCol w:w="237"/>
        <w:gridCol w:w="197"/>
        <w:gridCol w:w="196"/>
        <w:gridCol w:w="736"/>
        <w:gridCol w:w="109"/>
        <w:gridCol w:w="109"/>
        <w:gridCol w:w="109"/>
        <w:gridCol w:w="109"/>
        <w:gridCol w:w="207"/>
        <w:gridCol w:w="683"/>
        <w:gridCol w:w="116"/>
        <w:gridCol w:w="109"/>
        <w:gridCol w:w="109"/>
        <w:gridCol w:w="109"/>
        <w:gridCol w:w="196"/>
        <w:gridCol w:w="736"/>
        <w:gridCol w:w="109"/>
        <w:gridCol w:w="109"/>
        <w:gridCol w:w="109"/>
        <w:gridCol w:w="109"/>
        <w:gridCol w:w="233"/>
        <w:gridCol w:w="233"/>
        <w:gridCol w:w="350"/>
        <w:gridCol w:w="109"/>
        <w:gridCol w:w="109"/>
        <w:gridCol w:w="109"/>
        <w:gridCol w:w="196"/>
        <w:gridCol w:w="736"/>
        <w:gridCol w:w="109"/>
        <w:gridCol w:w="109"/>
        <w:gridCol w:w="109"/>
        <w:gridCol w:w="109"/>
        <w:gridCol w:w="229"/>
        <w:gridCol w:w="649"/>
        <w:gridCol w:w="128"/>
        <w:gridCol w:w="109"/>
        <w:gridCol w:w="109"/>
        <w:gridCol w:w="109"/>
        <w:gridCol w:w="196"/>
        <w:gridCol w:w="736"/>
        <w:gridCol w:w="109"/>
        <w:gridCol w:w="109"/>
        <w:gridCol w:w="109"/>
        <w:gridCol w:w="109"/>
        <w:gridCol w:w="233"/>
        <w:gridCol w:w="233"/>
        <w:gridCol w:w="401"/>
      </w:tblGrid>
      <w:tr>
        <w:trPr/>
        <w:tc>
          <w:tcPr>
            <w:tcW w:w="4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0148"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(Amounts in thousands, except percentages)</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283"/>
        <w:ind w:left="0" w:right="0" w:firstLine="45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total operating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78"/>
        <w:gridCol w:w="1459"/>
        <w:gridCol w:w="1463"/>
        <w:gridCol w:w="211"/>
        <w:gridCol w:w="856"/>
        <w:gridCol w:w="286"/>
        <w:gridCol w:w="109"/>
        <w:gridCol w:w="109"/>
        <w:gridCol w:w="109"/>
        <w:gridCol w:w="265"/>
        <w:gridCol w:w="276"/>
        <w:gridCol w:w="577"/>
        <w:gridCol w:w="109"/>
        <w:gridCol w:w="109"/>
        <w:gridCol w:w="109"/>
        <w:gridCol w:w="354"/>
        <w:gridCol w:w="344"/>
        <w:gridCol w:w="347"/>
        <w:gridCol w:w="109"/>
        <w:gridCol w:w="109"/>
        <w:gridCol w:w="109"/>
        <w:gridCol w:w="270"/>
        <w:gridCol w:w="271"/>
        <w:gridCol w:w="411"/>
        <w:gridCol w:w="156"/>
      </w:tblGrid>
      <w:tr>
        <w:trPr/>
        <w:tc>
          <w:tcPr>
            <w:tcW w:w="167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by segment:</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592,655 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w:t>
              <w:br/>
              <w:t>   compensation %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5"/>
        <w:gridCol w:w="1359"/>
        <w:gridCol w:w="1362"/>
        <w:gridCol w:w="211"/>
        <w:gridCol w:w="1021"/>
        <w:gridCol w:w="286"/>
        <w:gridCol w:w="109"/>
        <w:gridCol w:w="109"/>
        <w:gridCol w:w="109"/>
        <w:gridCol w:w="239"/>
        <w:gridCol w:w="302"/>
        <w:gridCol w:w="696"/>
        <w:gridCol w:w="109"/>
        <w:gridCol w:w="109"/>
        <w:gridCol w:w="109"/>
        <w:gridCol w:w="354"/>
        <w:gridCol w:w="344"/>
        <w:gridCol w:w="347"/>
        <w:gridCol w:w="109"/>
        <w:gridCol w:w="109"/>
        <w:gridCol w:w="109"/>
        <w:gridCol w:w="270"/>
        <w:gridCol w:w="271"/>
        <w:gridCol w:w="411"/>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by segment:</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of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1,218,286 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w:t>
              <w:br/>
              <w:t>   compensation % of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630"/>
        <w:jc w:val="left"/>
        <w:rPr/>
      </w:pPr>
      <w:r>
        <w:rPr>
          <w:rFonts w:ascii="Arial;sans-serif" w:hAnsi="Arial;sans-serif"/>
          <w:b w:val="false"/>
          <w:color w:val="000000"/>
          <w:sz w:val="13"/>
        </w:rPr>
        <w:t>(1)</w:t>
      </w:r>
      <w:r>
        <w:rPr>
          <w:rFonts w:ascii="Arial;sans-serif" w:hAnsi="Arial;sans-serif"/>
          <w:b w:val="false"/>
          <w:color w:val="000000"/>
          <w:sz w:val="20"/>
        </w:rPr>
        <w:t xml:space="preserve">During the six months ended June 30, 2026, the National Practice practice group was combined with the Financial Service practice group to better align with internal management and reporting structure. As a result, the Financial Services operating expenses for the three and six months ended June 30, 2025 was adjusted to reflect this change. </w:t>
      </w:r>
    </w:p>
    <w:p>
      <w:pPr>
        <w:pStyle w:val="TextBody"/>
        <w:bidi w:val="0"/>
        <w:spacing w:lineRule="auto" w:line="288" w:before="120" w:after="283"/>
        <w:jc w:val="left"/>
        <w:rPr/>
      </w:pPr>
      <w:r>
        <w:rPr>
          <w:rFonts w:ascii="Arial;sans-serif" w:hAnsi="Arial;sans-serif"/>
          <w:b/>
          <w:i/>
          <w:color w:val="000000"/>
          <w:sz w:val="20"/>
        </w:rPr>
        <w:t xml:space="preserve">Three months ended June 30, 2026 compared to June 30, 2025. </w:t>
      </w:r>
      <w:r>
        <w:rPr>
          <w:rFonts w:ascii="Arial;sans-serif" w:hAnsi="Arial;sans-serif"/>
          <w:b w:val="false"/>
          <w:color w:val="000000"/>
          <w:sz w:val="20"/>
        </w:rPr>
        <w:t>Total operating expenses for the three months ended June 30, 2026 increased by $14.2 million, or 2.4%, to $609.8 million as compared to $595.6 million in the same period in 2025. The deferred compensation plan increased operating expenses by $17.1 million for the three months ended June 30, 2026 and increased operating expenses by $11.7 million in the same period in 2025. Excluding the deferred compensation expenses, which were recorded in "Corporate and Other" for segment reporting purposes, operating expenses would have been $592.7 million and $583.9 million, or 86.9% and 85.4% of revenue, for the three months ended June 30, 2026 and 2025, respectively. In addition, operating expenses for the three months ended June 30, 2026 included approximately $14.8 million of integration costs associated with the Marcum Transaction, and the operating expenses for the three months ended June 30, 2025 included approximately $11.1 million of integration costs associated with the Marcum Transaction.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increased by approximately $8.8 million during the three months ended June 30, 2026 as compared to the same period in 2025, driven by $11.5 million higher personnel costs and $2.3 million higher direct costs, partially offset by $1.7 million lower depreciation and amortization costs, $2.9 million lower facility costs, and $3.4 lower professional service costs . Personnel costs are discussed in further detail under “Operating Practice Groups” below.</w:t>
      </w:r>
    </w:p>
    <w:p>
      <w:pPr>
        <w:pStyle w:val="TextBody"/>
        <w:bidi w:val="0"/>
        <w:spacing w:lineRule="auto" w:line="288" w:before="120" w:after="283"/>
        <w:jc w:val="left"/>
        <w:rPr/>
      </w:pPr>
      <w:r>
        <w:rPr>
          <w:rFonts w:ascii="Arial;sans-serif" w:hAnsi="Arial;sans-serif"/>
          <w:b/>
          <w:i/>
          <w:color w:val="000000"/>
          <w:sz w:val="20"/>
        </w:rPr>
        <w:t>Six months ended June 30, 2026 compared to June 30, 2025</w:t>
      </w:r>
      <w:r>
        <w:rPr>
          <w:rFonts w:ascii="Arial;sans-serif" w:hAnsi="Arial;sans-serif"/>
          <w:b w:val="false"/>
          <w:color w:val="000000"/>
          <w:sz w:val="20"/>
        </w:rPr>
        <w:t>. Total operating expenses for the six months ended June 30, 2026 increased by $26.8 million, or 2.2%, to $1,232.3 million as compared to $1,205.5 million in the same period in 2025. The deferred compensation plan increased operating expenses by $14.0 million for the six months ended June 30, 2026 and increased operating expenses by $9.3 million during the same period in 2025. Excluding the impact of deferred compensation, which was recorded in "Corporate and Other" for segment reporting purposes, operating expenses would have been $1,218.3 million and $1,196.2 million, or 79.6%</w:t>
      </w:r>
      <w:r>
        <w:rPr>
          <w:color w:val="000000"/>
        </w:rPr>
        <w:t xml:space="preserve"> </w:t>
      </w:r>
      <w:r>
        <w:rPr>
          <w:rFonts w:ascii="Arial;sans-serif" w:hAnsi="Arial;sans-serif"/>
          <w:b w:val="false"/>
          <w:color w:val="000000"/>
          <w:sz w:val="20"/>
        </w:rPr>
        <w:t xml:space="preserve">and 78.6% of revenue, for the six months ended June 30, 2026 and 2025, respectively. In addition, operating expense for the six months ended June 30, 2026 and 2025, included approximately $38.7 million and $20.1 million, respectively, of integration costs associated with the Marcum Transaction.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increased by approximately $22.1 million during the six months ended June 30, 2026 as compared to the same period in 2025, driven by $13.3 million in higher personnel costs, $1.7 million higher facility costs, $3.0 million higher technology costs, $3.2 million higher direct costs, and $1.5 million higher travel and entertainment costs, partially offset by $2.8 million lower professional service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Corporate General &amp; Administrative (“G&amp;A”)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2"/>
        <w:gridCol w:w="1562"/>
        <w:gridCol w:w="1570"/>
        <w:gridCol w:w="211"/>
        <w:gridCol w:w="751"/>
        <w:gridCol w:w="286"/>
        <w:gridCol w:w="109"/>
        <w:gridCol w:w="109"/>
        <w:gridCol w:w="109"/>
        <w:gridCol w:w="229"/>
        <w:gridCol w:w="207"/>
        <w:gridCol w:w="501"/>
        <w:gridCol w:w="109"/>
        <w:gridCol w:w="109"/>
        <w:gridCol w:w="109"/>
        <w:gridCol w:w="211"/>
        <w:gridCol w:w="751"/>
        <w:gridCol w:w="109"/>
        <w:gridCol w:w="109"/>
        <w:gridCol w:w="109"/>
        <w:gridCol w:w="109"/>
        <w:gridCol w:w="270"/>
        <w:gridCol w:w="271"/>
        <w:gridCol w:w="463"/>
      </w:tblGrid>
      <w:tr>
        <w:trPr/>
        <w:tc>
          <w:tcPr>
            <w:tcW w:w="183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38,366 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36,068 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2"/>
        <w:gridCol w:w="1562"/>
        <w:gridCol w:w="1570"/>
        <w:gridCol w:w="211"/>
        <w:gridCol w:w="751"/>
        <w:gridCol w:w="286"/>
        <w:gridCol w:w="109"/>
        <w:gridCol w:w="109"/>
        <w:gridCol w:w="109"/>
        <w:gridCol w:w="229"/>
        <w:gridCol w:w="207"/>
        <w:gridCol w:w="501"/>
        <w:gridCol w:w="109"/>
        <w:gridCol w:w="109"/>
        <w:gridCol w:w="109"/>
        <w:gridCol w:w="211"/>
        <w:gridCol w:w="751"/>
        <w:gridCol w:w="109"/>
        <w:gridCol w:w="109"/>
        <w:gridCol w:w="109"/>
        <w:gridCol w:w="109"/>
        <w:gridCol w:w="270"/>
        <w:gridCol w:w="271"/>
        <w:gridCol w:w="463"/>
      </w:tblGrid>
      <w:tr>
        <w:trPr/>
        <w:tc>
          <w:tcPr>
            <w:tcW w:w="183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77,898 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i/>
          <w:color w:val="000000"/>
          <w:sz w:val="20"/>
        </w:rPr>
        <w:t xml:space="preserve">Three months ended June 30, 2026 compared to June 30, 2025. </w:t>
      </w:r>
      <w:r>
        <w:rPr>
          <w:rFonts w:ascii="Arial;sans-serif" w:hAnsi="Arial;sans-serif"/>
          <w:b w:val="false"/>
          <w:color w:val="000000"/>
          <w:sz w:val="20"/>
        </w:rPr>
        <w:t xml:space="preserve">The deferred compensation plan increased G&amp;A expenses by $2.3 million for the three months ended June 30, 2026, and by $1.5 million during the same period in 2025. The G&amp;A expenses, excluding the impact of the deferred compensation plan, would have been $36.1 million, or 5.3% of revenue, for the three months ended June 30, 2026, compared to $26.2 million, or 3.8% of revenue, for the same period in 2025, an increase of approximately $9.9 million. The increase was primarily driven by $4.8 million in higher personnel costs, $4.8 million higher professional services costs, $1.4 million higher marketing costs, and $1.4 million higher technology costs, partially offset by $0.5 million decrease in other discretionary costs. The G&amp;A expenses for the three months ended June 30, 2026 and 2025 included approximately $4.5 million and $8.1 million of integration costs primarily associated with the Marcum Transaction. </w:t>
      </w:r>
    </w:p>
    <w:p>
      <w:pPr>
        <w:pStyle w:val="TextBody"/>
        <w:bidi w:val="0"/>
        <w:spacing w:lineRule="auto" w:line="288" w:before="120" w:after="283"/>
        <w:jc w:val="left"/>
        <w:rPr/>
      </w:pPr>
      <w:r>
        <w:rPr>
          <w:rFonts w:ascii="Arial;sans-serif" w:hAnsi="Arial;sans-serif"/>
          <w:b/>
          <w:i/>
          <w:color w:val="000000"/>
          <w:sz w:val="20"/>
        </w:rPr>
        <w:t xml:space="preserve">Six months ended June 30, 2026 compared to June 30, 2025. </w:t>
      </w:r>
      <w:r>
        <w:rPr>
          <w:rFonts w:ascii="Arial;sans-serif" w:hAnsi="Arial;sans-serif"/>
          <w:b w:val="false"/>
          <w:color w:val="000000"/>
          <w:sz w:val="20"/>
        </w:rPr>
        <w:t>The deferred compensation plan increased G&amp;A expenses by $2.0 million for the six months ended June 30, 2026, and increased G&amp;A expenses by $1.3 million during the same period in 2025. G&amp;A expenses, excluding the impact of the deferred compensation plan, would have been $77.9 million, or 5.1% of revenue, for the six months ended June 30, 2026, compared to $54.4 million, or 3.6% of revenue, for the same period in 2025, an increase of $23.5 million. The increase in G&amp;A expenses was primarily due to approximately $17.2 million of higher personnel costs driven by $10.9 million cumulative impact of the ESPP correction and higher compensation, $2.6 million higher technology costs, $2.0 million higher professional services costs, $0.6 million higher facility costs, and $2.6 million higher other discretionary spending to support business growth. The G&amp;A expenses for the six months ended June 30, 2026 and 2025, included approximately $7.6 million and $14.8 million, respectively, of integration costs primarily associated with the Marcum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Other Income (Expense), Net</w:t>
      </w:r>
    </w:p>
    <w:tbl>
      <w:tblPr>
        <w:tblW w:w="7715" w:type="dxa"/>
        <w:jc w:val="left"/>
        <w:tblInd w:w="0" w:type="dxa"/>
        <w:tblLayout w:type="fixed"/>
        <w:tblCellMar>
          <w:top w:w="28" w:type="dxa"/>
          <w:left w:w="28" w:type="dxa"/>
          <w:bottom w:w="28" w:type="dxa"/>
          <w:right w:w="28" w:type="dxa"/>
        </w:tblCellMar>
      </w:tblPr>
      <w:tblGrid>
        <w:gridCol w:w="809"/>
        <w:gridCol w:w="710"/>
        <w:gridCol w:w="716"/>
        <w:gridCol w:w="211"/>
        <w:gridCol w:w="811"/>
        <w:gridCol w:w="109"/>
        <w:gridCol w:w="109"/>
        <w:gridCol w:w="109"/>
        <w:gridCol w:w="109"/>
        <w:gridCol w:w="211"/>
        <w:gridCol w:w="811"/>
        <w:gridCol w:w="109"/>
        <w:gridCol w:w="109"/>
        <w:gridCol w:w="109"/>
        <w:gridCol w:w="109"/>
        <w:gridCol w:w="211"/>
        <w:gridCol w:w="706"/>
        <w:gridCol w:w="109"/>
        <w:gridCol w:w="109"/>
        <w:gridCol w:w="109"/>
        <w:gridCol w:w="109"/>
        <w:gridCol w:w="322"/>
        <w:gridCol w:w="324"/>
        <w:gridCol w:w="41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income, net </w:t>
            </w:r>
            <w:r>
              <w:rPr>
                <w:rFonts w:ascii="Arial;sans-serif" w:hAnsi="Arial;sans-serif"/>
                <w:b w:val="false"/>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349" w:type="dxa"/>
            <w:gridSpan w:val="1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20"/>
        </w:rPr>
      </w:pPr>
      <w:r>
        <w:rPr>
          <w:rFonts w:ascii="Arial;sans-serif" w:hAnsi="Arial;sans-serif"/>
          <w:b w:val="false"/>
          <w:color w:val="000000"/>
          <w:sz w:val="20"/>
        </w:rPr>
        <w:t>(1)Other income, net includes a net gain of $19.4 million during the three months ended June 30, 2026, compared to a net gain of $13.2 million for the same period in 2025,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(expense), net for the three months ended June 30, 2026 and 2025, is an income of $1.8 million and an expense of $1.0 million, respectively, related to net changes in the fair value of contingent consideration related to prior acquisitions.</w:t>
      </w:r>
    </w:p>
    <w:tbl>
      <w:tblPr>
        <w:tblW w:w="9604" w:type="dxa"/>
        <w:jc w:val="left"/>
        <w:tblInd w:w="0" w:type="dxa"/>
        <w:tblLayout w:type="fixed"/>
        <w:tblCellMar>
          <w:top w:w="28" w:type="dxa"/>
          <w:left w:w="28" w:type="dxa"/>
          <w:bottom w:w="28" w:type="dxa"/>
          <w:right w:w="28" w:type="dxa"/>
        </w:tblCellMar>
      </w:tblPr>
      <w:tblGrid>
        <w:gridCol w:w="1456"/>
        <w:gridCol w:w="1277"/>
        <w:gridCol w:w="1287"/>
        <w:gridCol w:w="211"/>
        <w:gridCol w:w="811"/>
        <w:gridCol w:w="109"/>
        <w:gridCol w:w="109"/>
        <w:gridCol w:w="109"/>
        <w:gridCol w:w="109"/>
        <w:gridCol w:w="211"/>
        <w:gridCol w:w="811"/>
        <w:gridCol w:w="109"/>
        <w:gridCol w:w="109"/>
        <w:gridCol w:w="109"/>
        <w:gridCol w:w="109"/>
        <w:gridCol w:w="211"/>
        <w:gridCol w:w="751"/>
        <w:gridCol w:w="109"/>
        <w:gridCol w:w="109"/>
        <w:gridCol w:w="109"/>
        <w:gridCol w:w="109"/>
        <w:gridCol w:w="351"/>
        <w:gridCol w:w="354"/>
        <w:gridCol w:w="411"/>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acquisition related adjustment,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income, net </w:t>
            </w:r>
            <w:r>
              <w:rPr>
                <w:rFonts w:ascii="Arial;sans-serif" w:hAnsi="Arial;sans-serif"/>
                <w:b w:val="false"/>
                <w:color w:val="000000"/>
                <w:sz w:val="12"/>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453" w:type="dxa"/>
            <w:gridSpan w:val="1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20"/>
        </w:rPr>
      </w:pPr>
      <w:r>
        <w:rPr>
          <w:rFonts w:ascii="Arial;sans-serif" w:hAnsi="Arial;sans-serif"/>
          <w:b w:val="false"/>
          <w:color w:val="000000"/>
          <w:sz w:val="20"/>
        </w:rPr>
        <w:t>(2)Other income, net includes a net gain of $16.0 million during the six months ended June 30, 2026, compared to a net gain of $10.6 million for the same period in 2025,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six months ended June 30, 2026 and 2025, is an income of $1.6 million and an expense of $1.5 million, respectively, related to changes in the fair value of contingent consideration related to prior acquisitions.</w:t>
      </w:r>
    </w:p>
    <w:p>
      <w:pPr>
        <w:pStyle w:val="TextBody"/>
        <w:bidi w:val="0"/>
        <w:spacing w:lineRule="auto" w:line="288" w:before="160" w:after="283"/>
        <w:ind w:left="0" w:right="0" w:firstLine="630"/>
        <w:jc w:val="left"/>
        <w:rPr>
          <w:rFonts w:ascii="Arial;sans-serif" w:hAnsi="Arial;sans-serif"/>
          <w:b/>
          <w:i/>
          <w:color w:val="000000"/>
          <w:sz w:val="20"/>
        </w:rPr>
      </w:pPr>
      <w:r>
        <w:rPr>
          <w:rFonts w:ascii="Arial;sans-serif" w:hAnsi="Arial;sans-serif"/>
          <w:b/>
          <w:i/>
          <w:color w:val="000000"/>
          <w:sz w:val="20"/>
        </w:rPr>
        <w:t xml:space="preserve">Interest Expense </w:t>
      </w:r>
    </w:p>
    <w:p>
      <w:pPr>
        <w:pStyle w:val="TextBody"/>
        <w:bidi w:val="0"/>
        <w:spacing w:lineRule="auto" w:line="288" w:before="160" w:after="283"/>
        <w:jc w:val="left"/>
        <w:rPr/>
      </w:pPr>
      <w:r>
        <w:rPr>
          <w:rFonts w:ascii="Arial;sans-serif" w:hAnsi="Arial;sans-serif"/>
          <w:b/>
          <w:i/>
          <w:color w:val="000000"/>
          <w:sz w:val="20"/>
        </w:rPr>
        <w:t>Three and six months ended June 30, 2026 compared with June 30, 2025.</w:t>
      </w:r>
      <w:r>
        <w:rPr>
          <w:color w:val="000000"/>
        </w:rPr>
        <w:t xml:space="preserve"> </w:t>
      </w:r>
      <w:r>
        <w:rPr>
          <w:rFonts w:ascii="Arial;sans-serif" w:hAnsi="Arial;sans-serif"/>
          <w:b w:val="false"/>
          <w:color w:val="000000"/>
          <w:sz w:val="20"/>
        </w:rPr>
        <w:t xml:space="preserve">During the three months ended June 30, 2026, our average debt balance and weighted average effective interest rate were $1,505.2 million and 6.01%, respectively, compared to $1,542.4 million and 6.75%, respectively, for the same period in 2025. The decrease in interest expense for the three months ended June 30, 2026 as compared to the same period in 2025 was primarily driven by the lower average debt balance and interest rates.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During the six months ended June 30, 2026, our average debt balance and interest rate were $1,486.0 million and 6.06%, respectively, compared to $1,493.2 million and 6.67%, respectively, for the same period in 2025. The decrease in interest expense for the six months ended June 30, 2026 as compared to the same period in 2025 was $4.8 million. This was primarily driven by the lower average debt balance and interest rates.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Our indebtedness is further discussed in Note 6, Debt and Financing Arrangements, to the accompanying unaudited condensed consolidated financial statements.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Gain from acquisition related adjustment, net</w:t>
      </w:r>
    </w:p>
    <w:p>
      <w:pPr>
        <w:pStyle w:val="TextBody"/>
        <w:bidi w:val="0"/>
        <w:spacing w:lineRule="auto" w:line="288" w:before="160" w:after="283"/>
        <w:jc w:val="left"/>
        <w:rPr/>
      </w:pPr>
      <w:r>
        <w:rPr>
          <w:rFonts w:ascii="Arial;sans-serif" w:hAnsi="Arial;sans-serif"/>
          <w:b/>
          <w:i/>
          <w:color w:val="000000"/>
          <w:sz w:val="20"/>
        </w:rPr>
        <w:t>Three and six months ended June 30, 2026 compared with June 30, 2025.</w:t>
      </w:r>
      <w:r>
        <w:rPr>
          <w:color w:val="000000"/>
        </w:rPr>
        <w:t xml:space="preserve"> </w:t>
      </w:r>
      <w:r>
        <w:rPr>
          <w:rFonts w:ascii="Arial;sans-serif" w:hAnsi="Arial;sans-serif"/>
          <w:b w:val="false"/>
          <w:color w:val="000000"/>
          <w:sz w:val="20"/>
        </w:rPr>
        <w:t xml:space="preserve">During the six months ended June 30, 2026, our gain from acquisition related adjustment, net was $58.0 million, compared to no gain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same periods in 2025. As stated in Note 4, Business Combinations, to the accompanying unaudited condensed consolidated financial statements, the Company recorded a $57.2 million working capital adjustment and related purchase price settlement, which was recognized as a gain within acquisition related adjustments in Total other income (expense), net in the consolidated statements of operations. Additionally, the Company also recorded an adjustment related to acquisitions of $0.8 million within gains from acquisition related adjustments during the six months ended June 30, 2026.</w:t>
      </w:r>
    </w:p>
    <w:p>
      <w:pPr>
        <w:pStyle w:val="TextBody"/>
        <w:bidi w:val="0"/>
        <w:spacing w:lineRule="auto" w:line="288" w:before="160" w:after="283"/>
        <w:ind w:left="0" w:right="0" w:firstLine="630"/>
        <w:jc w:val="left"/>
        <w:rPr>
          <w:rFonts w:ascii="Arial;sans-serif" w:hAnsi="Arial;sans-serif"/>
          <w:b/>
          <w:i/>
          <w:color w:val="000000"/>
          <w:sz w:val="20"/>
        </w:rPr>
      </w:pPr>
      <w:r>
        <w:rPr>
          <w:rFonts w:ascii="Arial;sans-serif" w:hAnsi="Arial;sans-serif"/>
          <w:b/>
          <w:i/>
          <w:color w:val="000000"/>
          <w:sz w:val="20"/>
        </w:rPr>
        <w:t xml:space="preserve">Other Income, Net </w:t>
      </w:r>
    </w:p>
    <w:p>
      <w:pPr>
        <w:pStyle w:val="TextBody"/>
        <w:bidi w:val="0"/>
        <w:spacing w:lineRule="auto" w:line="288" w:before="160" w:after="283"/>
        <w:jc w:val="left"/>
        <w:rPr/>
      </w:pPr>
      <w:r>
        <w:rPr>
          <w:rFonts w:ascii="Arial;sans-serif" w:hAnsi="Arial;sans-serif"/>
          <w:b/>
          <w:i/>
          <w:color w:val="000000"/>
          <w:sz w:val="20"/>
        </w:rPr>
        <w:t>Three and six months ended June 30, 2026 compared with June 30, 2025.</w:t>
      </w:r>
      <w:r>
        <w:rPr>
          <w:color w:val="000000"/>
        </w:rPr>
        <w:t xml:space="preserve"> </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Other income, net includes a net gain of $19.4 million associated with the non-qualified deferred compensation plan. For the same period in 2025, Other income, net includes a net gain of $13.2 million associated with the non-qualified deferred compensation plan. Excluding the impact of the deferred compensation plan from Other income, net for the three months ended June 30, 2026 would have been an expense of $5.5 million as compared to an income of $12.2 million in the same period in 2025, a decrease of approximately $17.7 million. The decrease was primarily due to a $7.2 million legal settlement loss recorded in the three months ended June 30, 2026 as compared to a $12.5 million gain from a legal settlement recorded in the same period in 2025.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For the six months ended June 30, 2026, Other income (expense), net includes a net gain of $16.0 million associated with the non-qualified deferred compensation plan. For the same period in 2025, Other income (expense),net includes a net gain of $10.6 million associated with the non-qualified deferred compensation plan. Excluding the impact of the deferred compensation plan, the other income, net for the six months ended June 30, 2026 would have been an expense of approximately $6.1 million, as compared to an income of $12.8 million during the same period in 2025, a decrease of approximately $18.9 million. The decrease was primarily due to a $7.2 million legal settlement loss recorded in the three months ended June 30, 2026 as compared to a $12.5 million gain from a legal settlement recorded in the same period in 2025.</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Income Tax Expense</w:t>
      </w:r>
    </w:p>
    <w:tbl>
      <w:tblPr>
        <w:tblW w:w="7454" w:type="dxa"/>
        <w:jc w:val="center"/>
        <w:tblInd w:w="0" w:type="dxa"/>
        <w:tblLayout w:type="fixed"/>
        <w:tblCellMar>
          <w:top w:w="28" w:type="dxa"/>
          <w:left w:w="28" w:type="dxa"/>
          <w:bottom w:w="28" w:type="dxa"/>
          <w:right w:w="28" w:type="dxa"/>
        </w:tblCellMar>
      </w:tblPr>
      <w:tblGrid>
        <w:gridCol w:w="684"/>
        <w:gridCol w:w="600"/>
        <w:gridCol w:w="605"/>
        <w:gridCol w:w="211"/>
        <w:gridCol w:w="646"/>
        <w:gridCol w:w="286"/>
        <w:gridCol w:w="109"/>
        <w:gridCol w:w="109"/>
        <w:gridCol w:w="109"/>
        <w:gridCol w:w="211"/>
        <w:gridCol w:w="751"/>
        <w:gridCol w:w="286"/>
        <w:gridCol w:w="109"/>
        <w:gridCol w:w="109"/>
        <w:gridCol w:w="109"/>
        <w:gridCol w:w="211"/>
        <w:gridCol w:w="811"/>
        <w:gridCol w:w="109"/>
        <w:gridCol w:w="109"/>
        <w:gridCol w:w="109"/>
        <w:gridCol w:w="109"/>
        <w:gridCol w:w="299"/>
        <w:gridCol w:w="301"/>
        <w:gridCol w:w="46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5,082 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46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65" w:type="dxa"/>
        <w:jc w:val="center"/>
        <w:tblInd w:w="0" w:type="dxa"/>
        <w:tblLayout w:type="fixed"/>
        <w:tblCellMar>
          <w:top w:w="28" w:type="dxa"/>
          <w:left w:w="28" w:type="dxa"/>
          <w:bottom w:w="28" w:type="dxa"/>
          <w:right w:w="28" w:type="dxa"/>
        </w:tblCellMar>
      </w:tblPr>
      <w:tblGrid>
        <w:gridCol w:w="684"/>
        <w:gridCol w:w="600"/>
        <w:gridCol w:w="605"/>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46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66,824 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65,974 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6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i/>
          <w:color w:val="000000"/>
          <w:sz w:val="20"/>
        </w:rPr>
        <w:t xml:space="preserve">Three and six months ended June 30, 2026 compared with June 30, 2025. </w:t>
      </w:r>
      <w:r>
        <w:rPr>
          <w:rFonts w:ascii="Arial;sans-serif" w:hAnsi="Arial;sans-serif"/>
          <w:b w:val="false"/>
          <w:color w:val="000000"/>
          <w:sz w:val="20"/>
        </w:rPr>
        <w:t xml:space="preserve">The effective tax rate for the three months ended June 30, 2026 was 21.5%, compared to 27.4% for the same period in 2025. The decrease in the effective tax rate is primarily attributed to a tax benefit recognized in the current period related to the purchase of certain transferrable tax credits, partially offset by tax expense related to stock-based compensation. The decrease in income tax expense of $10.8 million for the three months ended June 30, 2026, when compared to the same period in 2025, was primarily driven by the lower pre-tax income in 2026 and the tax benefit recognized from the purchase of certain transferrable tax credits. </w:t>
      </w:r>
    </w:p>
    <w:p>
      <w:pPr>
        <w:pStyle w:val="TextBody"/>
        <w:bidi w:val="0"/>
        <w:spacing w:before="100" w:after="283"/>
        <w:jc w:val="left"/>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effective tax rate for the six months ended June 30, 2026 was 28.1%, compared to 28.6% for the same period in 2025. The decrease in the effective tax rate is primarily attributed to a tax benefit recognized in the current period related to the purchase of certain transferrable tax credits, partially offset by tax expense related to stock-based compensation. Income tax expense increased by $0.9 million for the six months ended June 30, 2026, when compared to the same period in 2025, primarily due to higher pre-tax income and tax expense related to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based compensation, partially offset by the tax benefit recognized from the purchase of certain transferrable tax credits.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six months ended June 30, 2026, the National Practice practice group was combined with the Financial Service practice group to better align with internal management and reporting structure. As a result of these changes, we now operate with two reportable segments: Financial Services and Benefits and Insurances Services. Financial results of the Financial Service Practice Group for the three and six months ended June 30, 2025, were adjusted to reflect the change in reportable segments. A description of these groups' operating results and factors affecting their businesses is provided below.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Same-unit revenue represents total revenue adjusted to reflect comparable periods of activity for acquisitions and divestitures. Divested operations represent operations that did not meet the criteria for treatment as discontinued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Financial Services</w:t>
      </w:r>
    </w:p>
    <w:tbl>
      <w:tblPr>
        <w:tblW w:w="8953" w:type="dxa"/>
        <w:jc w:val="center"/>
        <w:tblInd w:w="0" w:type="dxa"/>
        <w:tblLayout w:type="fixed"/>
        <w:tblCellMar>
          <w:top w:w="28" w:type="dxa"/>
          <w:left w:w="28" w:type="dxa"/>
          <w:bottom w:w="28" w:type="dxa"/>
          <w:right w:w="28" w:type="dxa"/>
        </w:tblCellMar>
      </w:tblPr>
      <w:tblGrid>
        <w:gridCol w:w="1147"/>
        <w:gridCol w:w="1010"/>
        <w:gridCol w:w="1022"/>
        <w:gridCol w:w="211"/>
        <w:gridCol w:w="856"/>
        <w:gridCol w:w="286"/>
        <w:gridCol w:w="109"/>
        <w:gridCol w:w="109"/>
        <w:gridCol w:w="109"/>
        <w:gridCol w:w="211"/>
        <w:gridCol w:w="856"/>
        <w:gridCol w:w="286"/>
        <w:gridCol w:w="109"/>
        <w:gridCol w:w="109"/>
        <w:gridCol w:w="109"/>
        <w:gridCol w:w="211"/>
        <w:gridCol w:w="706"/>
        <w:gridCol w:w="109"/>
        <w:gridCol w:w="109"/>
        <w:gridCol w:w="109"/>
        <w:gridCol w:w="109"/>
        <w:gridCol w:w="248"/>
        <w:gridCol w:w="248"/>
        <w:gridCol w:w="41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Same-unit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578,207 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581,567 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businesses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580,324 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581,567 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86,628 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86,602 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29" w:type="dxa"/>
        <w:jc w:val="center"/>
        <w:tblInd w:w="0" w:type="dxa"/>
        <w:tblLayout w:type="fixed"/>
        <w:tblCellMar>
          <w:top w:w="28" w:type="dxa"/>
          <w:left w:w="28" w:type="dxa"/>
          <w:bottom w:w="28" w:type="dxa"/>
          <w:right w:w="28" w:type="dxa"/>
        </w:tblCellMar>
      </w:tblPr>
      <w:tblGrid>
        <w:gridCol w:w="1147"/>
        <w:gridCol w:w="1010"/>
        <w:gridCol w:w="1023"/>
        <w:gridCol w:w="211"/>
        <w:gridCol w:w="1021"/>
        <w:gridCol w:w="286"/>
        <w:gridCol w:w="109"/>
        <w:gridCol w:w="109"/>
        <w:gridCol w:w="109"/>
        <w:gridCol w:w="211"/>
        <w:gridCol w:w="1021"/>
        <w:gridCol w:w="286"/>
        <w:gridCol w:w="109"/>
        <w:gridCol w:w="109"/>
        <w:gridCol w:w="109"/>
        <w:gridCol w:w="211"/>
        <w:gridCol w:w="751"/>
        <w:gridCol w:w="109"/>
        <w:gridCol w:w="109"/>
        <w:gridCol w:w="109"/>
        <w:gridCol w:w="109"/>
        <w:gridCol w:w="248"/>
        <w:gridCol w:w="248"/>
        <w:gridCol w:w="41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Same-unit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1,316,342 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1,306,605 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businesses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1,320,654 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1,306,605 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(expense) income, net</w:t>
            </w:r>
          </w:p>
        </w:tc>
        <w:tc>
          <w:tcPr>
            <w:tcW w:w="12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289,084 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291,067 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2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Three months ended June 30, 2026 compared to June 30, 2025.</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Financial Services practice group revenue for the three months ended June 30, 2026 decreased by 0.2% to $580.3 million from $581.6 million during the same period in 2025. Same-unit revenue declined by $3.4 million, or 0.6%, primarily driven by those units that provide traditional accounting and tax-related services, which decreased $8.0 million and by those units that provide project based advisory services, which decreased by $1.4 million, The decrease was partially offset by the increase in revenue from the units that provide government healthcare compliance business consulting, which increased by approximately $3.5 million, and the units that provide technology services, which increased by $2.4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a range of services to affiliated CPA firms under joint referral and administrative service agreements (“ASAs”). Fees earned under the ASAs are recorded as revenue in the accompanying Condensed Consolidated Statements of Comprehensive Income and were approximately $148.6 million and $164.7 million for the three months ended June 30, 2026 and 2025, respectively.</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expenses for the three months ended June 30, 2026 increased by $4.9 million, or 1.0%, as compared to the same period in 2025. The increase is primarily due to increases in direct costs and other discretionary spending. Operating expenses as a percentage of revenue increased slightly to 86.1% for the three months ended June 30, 2026 from 85.1% of revenue for the same period in 2025.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Six months ended June 30, 2026 compared to June 30, 2025.</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Revenue for the six months ended June 30, 2026 grew by 1.1% to $1,320.7 million from $1,306.6 million during the same period in 2025. Same-unit revenue increased by $9.7 million, or 0.7%, This increase was primarily driven by those units that provide advisory services, which increased by $5.9 million, the units that provide technology services, which increased $2.6, and the units that provide government healthcare compliance business consulting, which increased by approximately $4.0 million. The increase was partially offset by a $2.8 million decrease in traditional accounting and tax services. </w:t>
      </w:r>
    </w:p>
    <w:p>
      <w:pPr>
        <w:pStyle w:val="TextBody"/>
        <w:bidi w:val="0"/>
        <w:spacing w:lineRule="auto" w:line="288" w:before="100" w:after="283"/>
        <w:jc w:val="left"/>
        <w:rPr/>
      </w:pPr>
      <w:r>
        <w:rPr>
          <w:rFonts w:ascii="Arial;sans-serif" w:hAnsi="Arial;sans-serif"/>
          <w:b w:val="false"/>
          <w:color w:val="000000"/>
          <w:sz w:val="20"/>
        </w:rPr>
        <w:t>Fees earned under the ASAs, as described above, were approximatel</w:t>
      </w:r>
      <w:r>
        <w:rPr>
          <w:rFonts w:ascii="Arial;sans-serif" w:hAnsi="Arial;sans-serif"/>
          <w:b w:val="false"/>
          <w:color w:val="000000"/>
          <w:sz w:val="20"/>
          <w:shd w:fill="FFFFFF" w:val="clear"/>
        </w:rPr>
        <w:t xml:space="preserve">y </w:t>
      </w:r>
      <w:r>
        <w:rPr>
          <w:rFonts w:ascii="Arial;sans-serif" w:hAnsi="Arial;sans-serif"/>
          <w:b w:val="false"/>
          <w:color w:val="000000"/>
          <w:sz w:val="20"/>
        </w:rPr>
        <w:t xml:space="preserve">$368.0 million </w:t>
      </w:r>
      <w:r>
        <w:rPr>
          <w:rFonts w:ascii="Arial;sans-serif" w:hAnsi="Arial;sans-serif"/>
          <w:b w:val="false"/>
          <w:color w:val="000000"/>
          <w:sz w:val="20"/>
          <w:shd w:fill="FFFFFF" w:val="clear"/>
        </w:rPr>
        <w:t>and $398.7 million f</w:t>
      </w:r>
      <w:r>
        <w:rPr>
          <w:rFonts w:ascii="Arial;sans-serif" w:hAnsi="Arial;sans-serif"/>
          <w:b w:val="false"/>
          <w:color w:val="000000"/>
          <w:sz w:val="20"/>
        </w:rPr>
        <w:t>or the six months ended June 30, 2026 and 2025, respectively.</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pPr>
      <w:r>
        <w:rPr>
          <w:rFonts w:ascii="Arial;sans-serif" w:hAnsi="Arial;sans-serif"/>
          <w:b w:val="false"/>
          <w:color w:val="000000"/>
          <w:sz w:val="20"/>
        </w:rPr>
        <w:t>Operating expenses for the six months ended June 30, 2026 increased by $14.9 million, or 1.5%, as compared to the same period in 2025. Compared to the same period in 2025, facility costs, subscription costs, travel and entertainment costs, and direct costs increased by approximately $2.7 million, $2.2 million, $1.3 million, and $2.1 million, respectively. Operating expense as a percentage of revenue was 78.0%</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77.7% during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Benefits and Insurance Services</w:t>
      </w:r>
    </w:p>
    <w:tbl>
      <w:tblPr>
        <w:tblW w:w="8955" w:type="dxa"/>
        <w:jc w:val="center"/>
        <w:tblInd w:w="0" w:type="dxa"/>
        <w:tblLayout w:type="fixed"/>
        <w:tblCellMar>
          <w:top w:w="28" w:type="dxa"/>
          <w:left w:w="28" w:type="dxa"/>
          <w:bottom w:w="28" w:type="dxa"/>
          <w:right w:w="28" w:type="dxa"/>
        </w:tblCellMar>
      </w:tblPr>
      <w:tblGrid>
        <w:gridCol w:w="1151"/>
        <w:gridCol w:w="1009"/>
        <w:gridCol w:w="1020"/>
        <w:gridCol w:w="211"/>
        <w:gridCol w:w="856"/>
        <w:gridCol w:w="286"/>
        <w:gridCol w:w="109"/>
        <w:gridCol w:w="109"/>
        <w:gridCol w:w="109"/>
        <w:gridCol w:w="211"/>
        <w:gridCol w:w="856"/>
        <w:gridCol w:w="286"/>
        <w:gridCol w:w="109"/>
        <w:gridCol w:w="109"/>
        <w:gridCol w:w="109"/>
        <w:gridCol w:w="211"/>
        <w:gridCol w:w="706"/>
        <w:gridCol w:w="109"/>
        <w:gridCol w:w="109"/>
        <w:gridCol w:w="109"/>
        <w:gridCol w:w="109"/>
        <w:gridCol w:w="299"/>
        <w:gridCol w:w="301"/>
        <w:gridCol w:w="462"/>
      </w:tblGrid>
      <w:tr>
        <w:trPr/>
        <w:tc>
          <w:tcPr>
            <w:tcW w:w="11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214,905 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Three months ended June 30, 2026 compared to June 30, 2025.</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00" w:after="283"/>
        <w:jc w:val="left"/>
        <w:rPr/>
      </w:pPr>
      <w:r>
        <w:rPr>
          <w:rFonts w:ascii="Arial;sans-serif" w:hAnsi="Arial;sans-serif"/>
          <w:b w:val="false"/>
          <w:color w:val="000000"/>
          <w:sz w:val="20"/>
        </w:rPr>
        <w:t>The Benefits and Insurance Services practice group revenue growth was relatively flat at $101.9 million</w:t>
      </w:r>
      <w:r>
        <w:rPr>
          <w:color w:val="000000"/>
        </w:rPr>
        <w:t xml:space="preserve"> </w:t>
      </w:r>
      <w:r>
        <w:rPr>
          <w:rFonts w:ascii="Arial;sans-serif" w:hAnsi="Arial;sans-serif"/>
          <w:b w:val="false"/>
          <w:color w:val="000000"/>
          <w:sz w:val="20"/>
        </w:rPr>
        <w:t xml:space="preserve">during the three months ended June 30, 2026 as compared to $101.9 million for the same period in 2025.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expenses for the three months ended June 30, 2026 increased by $2.3 million, or 2.7%, when compared to the same period in 2025. The increase was not material, and operating expenses within the Benefits and Insurance practice group remained generally consistent period over period. Operating expenses as a percentage of revenue increased slightly to 84.7% for the quarter ended June 30, 2026 from 82.4% of revenue for the same period in 2025 due to decrease in revenue.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Six months ended June 30, 2026 compared to June 30, 2025.</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The Benefits and Insurance Services practice group revenue decreased by $4.8 million, or 2.2%, to $210.1 million during the six months ended June 30, 2026 compared to $214.9 million for the same period in 2025. The decrease was primarily driven by a $3.4 million decrease in property and casualty services and $1.2 million from human capital related services. and a $1.8 million decrease in retirement benefit and other services. These decreases were partially offset by a $1.6 million increase in Employee Benefit Services revenue.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Operating expenses for the six months ended June 30, 2026 increased by $2.2 million, or 1.3%, when compared to the same period in 2025. The increase was not material, and operating expenses within the Benefits and Insurance practice group remained generally consistent period over period. Operating expense as a percentage of revenue increased to 81.6% during the six months ended June 30, 2026 as compared to 78.8% of revenue for the same period in 2025 due to decrease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Corporate and Other</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 </w:t>
      </w:r>
    </w:p>
    <w:tbl>
      <w:tblPr>
        <w:tblW w:w="9845" w:type="dxa"/>
        <w:jc w:val="left"/>
        <w:tblInd w:w="0" w:type="dxa"/>
        <w:tblLayout w:type="fixed"/>
        <w:tblCellMar>
          <w:top w:w="28" w:type="dxa"/>
          <w:left w:w="28" w:type="dxa"/>
          <w:bottom w:w="28" w:type="dxa"/>
          <w:right w:w="28" w:type="dxa"/>
        </w:tblCellMar>
      </w:tblPr>
      <w:tblGrid>
        <w:gridCol w:w="1520"/>
        <w:gridCol w:w="1337"/>
        <w:gridCol w:w="1342"/>
        <w:gridCol w:w="211"/>
        <w:gridCol w:w="811"/>
        <w:gridCol w:w="109"/>
        <w:gridCol w:w="109"/>
        <w:gridCol w:w="109"/>
        <w:gridCol w:w="109"/>
        <w:gridCol w:w="211"/>
        <w:gridCol w:w="916"/>
        <w:gridCol w:w="109"/>
        <w:gridCol w:w="109"/>
        <w:gridCol w:w="109"/>
        <w:gridCol w:w="109"/>
        <w:gridCol w:w="211"/>
        <w:gridCol w:w="811"/>
        <w:gridCol w:w="109"/>
        <w:gridCol w:w="109"/>
        <w:gridCol w:w="109"/>
        <w:gridCol w:w="109"/>
        <w:gridCol w:w="351"/>
        <w:gridCol w:w="354"/>
        <w:gridCol w:w="462"/>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June 30, 2026 compared to June 30,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increased by $7.0 million during the three months ended June 30, 2026, as compared to the same period in 2025. The non-qualified deferred compensation plan increased operating expenses by $17.1 million for the three months ended June 30, 2026 and increased operating expenses by $11.7 million during the same period in 2025. Excluding the impact of non-qualified deferred compensation plan, Corporate operating expenses increased by $1.6 million during the three months ended June 30, 2026, as compared to the same period in 2025. The increase was primarily driven by $1.4 million higher technology costs, $0.3 million higher depreciation costs, $0.4 million higher travel and entertainment costs, $0.3 million higher marketing costs, offset by $0.5 million decrease in facility related costs, and $0.3 million other discretionary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corporate G&amp;A expenses increased by $10.7 million, or 38.8%, during the three months ended June 30, 2026, as compared to the same period in 2025. The non-qualified deferred compensation plan increased corporate G&amp;A expenses by $2.3 million for the three months ended June 30, 2026 and increased corporate G&amp;A expenses by $1.5 million during the same period in 2025. Excluding the impact of the non-qualified deferred compensation plan, corporate G&amp;A expense increased by approximately $9.9 million during the three months ended June 30, 2026, as compared to the same period in 2025. The increase was primarily driven by $4.8 million in higher personnel costs, $4.8 million higher professional services costs, $1.4 million higher marketing costs, and $1.4 million higher technology costs, partially offset by $0.5 million decrease in other discretionary costs. The G&amp;A expenses for the three months ended June 30, 2026 and 2025 included approximately $4.5 million and $8.1 million of integration costs primarily associated with the Marcum Transaction.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other expense, net increased by $7.8 million during the three months ended June 30, 2026, as compared to the same period in 2025. For the three months ended June 30, 2026, total other expense, net included a net gain of $19.4 million associated with the non-qualified deferred compensation plan. For the same period in 2025, total other expense, net included a net gain of $13.2 million associated with the non-qualified deferred compensation plan. Excluding the impact of the non-qualified deferred compensation plan, total other expense, net increased by $14.1 million for the three months ended June 30, 2026 as compared to the same period in 2025. The increase was primarily due to a $7.2 million estimated legal loss recorded in the three months ended June 30, 2026 as compared to a $12.5 million gain from a legal settlement recorded in the same period in 2025, offset by $3.6 million lower interest expense and $2.0 million favorable adjustment to the fair value of contingent consideration related to prior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Six months ended June 30, 2026 compared to June 30,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increased by $9.8 million ,or 47.9%, during the six months ended June 30, 2026, as compared to the same period in 2025. The deferred compensation plan increased operating expenses by $11.7 million for the six months ended June 30, 2026, and increased operating expense by $9.3 million during the same period in 2025. Excluding the deferred compensation expenses, operating expense increased by approximately $5.0 million during the six months ended June 30, 2026, as compared to the same period in 2025, primarily driven by higher personnel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corporate general and administrative expenses increased by $24.2 million, or 43.4%, during the six months ended June 30, 2026, as compared to the same period in 2025. The deferred compensation plan increased corporate general and administrative expenses by $2.0 million for the six months ended June 30, 2026 and by $1.3 million during the same period in 2025. Excluding the deferred compensation expenses, corporate general and administrative expense increased by approximately $23.5 million during the six months ended June 30, 2026, as compared to the same period in 2025. The increase in G&amp;A expenses was primarily due to approximately $17.2 million of higher personnel costs driven by $10.9 million cumulative impact of the ESPP correction and higher compensation, $2.6 million higher technology costs, $2.0 million higher professional services costs, $0.6 million higher facility costs, and $2.6million higher other discretionary spending to support business growth. The G&amp;A expenses for the six months ended June 30, 2026 and 2025, included approximately $7.6 million and $14.8 million, respectively, of integration costs primarily associated with the Marcum Transaction.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other income (expense), net increased by $50.3 million during the six months ended June 30, 2026, as compared to the same period in 2025. Total other income (expense), net for the six months ended June 30, 2026 includes a net gain of $16.0 million associated with the deferred compensation plan. For the same period in 2025, total other income (expense), net includes a net gain of $10.6 million associated with the deferred compensation plan. Excluding the impact of the deferred compensation plan, total other income (expense), net increased by $44.9 million for the six months ended June 30, 2026 compared to the same period in 2025. The increase in income was primarily attributed to a $58.0 million gain on acquisition related adjustments as well as $4.8 million lower interest expense. In addition, the other income (expense) included a $7.2 million estimated legal loss recorded in the three months ended June 30, 2026 as compared to a $12.5 million gain from a legal settlement recorded in the same period in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4, Business Combinations, to the accompanying unaudited condensed consolidated financial statements in the six months ended June 30, 2026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historically experience a use of cash to fund working capital requirements during the first quarter of each fiscal year. This is primarily due to the seasonal nature of the Financial Services practice group's accounting and tax services,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 We also expect to fund the rescission offer relating to the ESPP from either our existing cash balance or funds from our revolving credit facility. </w:t>
      </w:r>
    </w:p>
    <w:p>
      <w:pPr>
        <w:pStyle w:val="TextBody"/>
        <w:bidi w:val="0"/>
        <w:spacing w:lineRule="auto" w:line="288" w:before="120" w:after="283"/>
        <w:jc w:val="left"/>
        <w:rPr/>
      </w:pPr>
      <w:r>
        <w:rPr>
          <w:rFonts w:ascii="Arial;sans-serif" w:hAnsi="Arial;sans-serif"/>
          <w:b w:val="false"/>
          <w:color w:val="000000"/>
          <w:sz w:val="20"/>
        </w:rPr>
        <w:t>Accounts receivable balances increase in response to the first three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89 days and 87 days at June 30, 2026 and 2025, respectively. DSO at December 31, 2025 was 71</w:t>
      </w:r>
      <w:r>
        <w:rPr>
          <w:color w:val="000000"/>
        </w:rPr>
        <w:t xml:space="preserve"> </w:t>
      </w:r>
      <w:r>
        <w:rPr>
          <w:rFonts w:ascii="Arial;sans-serif" w:hAnsi="Arial;sans-serif"/>
          <w:b w:val="false"/>
          <w:color w:val="000000"/>
          <w:sz w:val="20"/>
        </w:rPr>
        <w:t xml:space="preserve">days.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selected cash flow information. For additional details, refer to the accompanying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8023" w:type="dxa"/>
        <w:jc w:val="center"/>
        <w:tblInd w:w="0" w:type="dxa"/>
        <w:tblLayout w:type="fixed"/>
        <w:tblCellMar>
          <w:top w:w="28" w:type="dxa"/>
          <w:left w:w="28" w:type="dxa"/>
          <w:bottom w:w="28" w:type="dxa"/>
          <w:right w:w="28" w:type="dxa"/>
        </w:tblCellMar>
      </w:tblPr>
      <w:tblGrid>
        <w:gridCol w:w="1913"/>
        <w:gridCol w:w="1678"/>
        <w:gridCol w:w="1689"/>
        <w:gridCol w:w="211"/>
        <w:gridCol w:w="811"/>
        <w:gridCol w:w="109"/>
        <w:gridCol w:w="109"/>
        <w:gridCol w:w="109"/>
        <w:gridCol w:w="109"/>
        <w:gridCol w:w="211"/>
        <w:gridCol w:w="811"/>
        <w:gridCol w:w="109"/>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June 30,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i/>
          <w:color w:val="000000"/>
          <w:sz w:val="20"/>
        </w:rPr>
        <w:t xml:space="preserve">Operating Activities - </w:t>
      </w:r>
      <w:r>
        <w:rPr>
          <w:rFonts w:ascii="Arial;sans-serif" w:hAnsi="Arial;sans-serif"/>
          <w:b w:val="false"/>
          <w:color w:val="000000"/>
          <w:sz w:val="20"/>
        </w:rPr>
        <w:t>Cash provided by operating activities was $122.2 million</w:t>
      </w:r>
      <w:r>
        <w:rPr>
          <w:color w:val="000000"/>
        </w:rPr>
        <w:t xml:space="preserve"> </w:t>
      </w:r>
      <w:r>
        <w:rPr>
          <w:rFonts w:ascii="Arial;sans-serif" w:hAnsi="Arial;sans-serif"/>
          <w:b w:val="false"/>
          <w:color w:val="000000"/>
          <w:sz w:val="20"/>
        </w:rPr>
        <w:t>during the six months ended June 30, 2026, primarily consisted of working capital use of $136.9 million, which was offset by net income of $171.4 million and certain non-cash items, such as depreciation and amortization expense of $47.1 million, deferred income tax of $19.7 million, stock-based compensation expense of $15.6 million, bad debt expense of $3.1 million, amortization of deferred financing fees of $2.7 million, and offset by $0.6 million non-cash income primarily due to favorable fair value adjustments to contingent purchase considerations. Cash provided by operating activities was $24.9 million during the six months ended June 30, 2025, primarily consisted of working capital use of $225.1 million, which was offset by net income of $164.7 million and certain non-cash items, such as depreciation and amortization expense of $49.9 million, deferred income tax of $17.1 million, stock-based compensation expense of $12.2 million, and an adjustment to contingent earnout liability of $1.5 million.</w:t>
      </w:r>
    </w:p>
    <w:p>
      <w:pPr>
        <w:pStyle w:val="TextBody"/>
        <w:bidi w:val="0"/>
        <w:spacing w:lineRule="auto" w:line="288" w:before="160" w:after="283"/>
        <w:jc w:val="left"/>
        <w:rPr/>
      </w:pPr>
      <w:r>
        <w:rPr>
          <w:rFonts w:ascii="Arial;sans-serif" w:hAnsi="Arial;sans-serif"/>
          <w:b/>
          <w:i/>
          <w:color w:val="000000"/>
          <w:sz w:val="20"/>
        </w:rPr>
        <w:t xml:space="preserve">Investing Activities - </w:t>
      </w:r>
      <w:r>
        <w:rPr>
          <w:rFonts w:ascii="Arial;sans-serif" w:hAnsi="Arial;sans-serif"/>
          <w:b w:val="false"/>
          <w:color w:val="000000"/>
          <w:sz w:val="20"/>
        </w:rPr>
        <w:t>Cash used in investing activities during the six months ended June 30, 2026 was $21.5 million and consisted primarily of $14.0 million used for business acquisitions, $11.7 million in capital expenditures and $0.3 million in net client fund investment activity, partially offset by $4.0 million of other investing activities and $6.0 million related to proceeds from the sales and maturities of client fund investments. The net cash flow related to funds held for clients and other activities was immaterial. Cash used in investing activities during the six months ended June 30, 2025 was $12.3 million and consisted primarily of $13.1 million in capital expenditures, and $0.5 million in other investing activities primarily related to acquisition related working capital adjustment payments and notes receivable. The net cash flow related to funds held for clients and other activities were immaterial.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2025, as amended.</w:t>
      </w:r>
    </w:p>
    <w:p>
      <w:pPr>
        <w:pStyle w:val="TextBody"/>
        <w:bidi w:val="0"/>
        <w:spacing w:lineRule="auto" w:line="288" w:before="160" w:after="283"/>
        <w:jc w:val="left"/>
        <w:rPr/>
      </w:pPr>
      <w:r>
        <w:rPr>
          <w:rFonts w:ascii="Arial;sans-serif" w:hAnsi="Arial;sans-serif"/>
          <w:b/>
          <w:i/>
          <w:color w:val="000000"/>
          <w:sz w:val="20"/>
        </w:rPr>
        <w:t xml:space="preserve">Financing Activities - </w:t>
      </w:r>
      <w:r>
        <w:rPr>
          <w:rFonts w:ascii="Arial;sans-serif" w:hAnsi="Arial;sans-serif"/>
          <w:b w:val="false"/>
          <w:color w:val="000000"/>
          <w:sz w:val="20"/>
        </w:rPr>
        <w:t>Cash used in financing activities during the six months ended June 30, 2026 was $158.3 million</w:t>
      </w:r>
      <w:r>
        <w:rPr>
          <w:color w:val="000000"/>
        </w:rPr>
        <w:t xml:space="preserve"> </w:t>
      </w:r>
      <w:r>
        <w:rPr>
          <w:rFonts w:ascii="Arial;sans-serif" w:hAnsi="Arial;sans-serif"/>
          <w:b w:val="false"/>
          <w:color w:val="000000"/>
          <w:sz w:val="20"/>
        </w:rPr>
        <w:t>and consisted of $67.5 million of cash used in share repurchases, of which $7.4 million was used under the ROFR Agreement and $60.1 million were open market purchases. Additionally, $71.4 million was paid to reduce client fund obligations and $18.2 million was paid as contingent consideration payments related to prior acquisitions. The use of cash was partially offset by $1.1 million in net proceeds from borrowings under the 2024 Credit Facilities. Cash used in financing activities during the six months ended June 30, 2025 was $33.2 million</w:t>
      </w:r>
      <w:r>
        <w:rPr>
          <w:color w:val="000000"/>
        </w:rPr>
        <w:t xml:space="preserve"> </w:t>
      </w:r>
      <w:r>
        <w:rPr>
          <w:rFonts w:ascii="Arial;sans-serif" w:hAnsi="Arial;sans-serif"/>
          <w:b w:val="false"/>
          <w:color w:val="000000"/>
          <w:sz w:val="20"/>
        </w:rPr>
        <w:t xml:space="preserve">and primarily consisted of $79.1 million of cash used in share repurchases, of which $71.3 million was under the ROFR Agreement, a $57.2 million net decrease in client fund obligations and $48.8 million in contingent consideration payments related to prior acquisitions, which was partially offset by $152.8 million in net proceeds from the credit facility.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CAPITAL RESOURCES</w:t>
      </w:r>
    </w:p>
    <w:p>
      <w:pPr>
        <w:pStyle w:val="TextBody"/>
        <w:bidi w:val="0"/>
        <w:spacing w:lineRule="auto" w:line="288" w:before="160" w:after="283"/>
        <w:jc w:val="left"/>
        <w:rPr/>
      </w:pPr>
      <w:r>
        <w:rPr>
          <w:rFonts w:ascii="Arial;sans-serif" w:hAnsi="Arial;sans-serif"/>
          <w:b/>
          <w:i/>
          <w:color w:val="000000"/>
          <w:sz w:val="20"/>
        </w:rPr>
        <w:t xml:space="preserve">Credit Facilities - </w:t>
      </w:r>
      <w:r>
        <w:rPr>
          <w:rFonts w:ascii="Arial;sans-serif" w:hAnsi="Arial;sans-serif"/>
          <w:b w:val="false"/>
          <w:color w:val="000000"/>
          <w:sz w:val="20"/>
        </w:rPr>
        <w:t xml:space="preserve">At June 30, 2026, we had $1,473.5 million outstanding under the 2024 Credit Facilities as well as $3.2 million of outstanding letters of credit. Available funds under the 2024 Credit Facilities, based on the terms of the commitment, were approximately $418.3 million at June 30, 2026. The weighted average interest rate under the 2024 Credit Facilities was 6.06% during the six months ended June 30, 2026, compared to 6.67% for the same period in 2025. The 2024 Credit Facilities allows for the allocation of funds for future strategic initiatives, including acquisitions and the repurchase of our common stock, subject to the terms and conditions of the 2024 Credit Facilities. </w:t>
      </w:r>
    </w:p>
    <w:p>
      <w:pPr>
        <w:pStyle w:val="TextBody"/>
        <w:bidi w:val="0"/>
        <w:spacing w:lineRule="auto" w:line="288" w:before="160" w:after="283"/>
        <w:jc w:val="left"/>
        <w:rPr/>
      </w:pPr>
      <w:r>
        <w:rPr>
          <w:rFonts w:ascii="Arial;sans-serif" w:hAnsi="Arial;sans-serif"/>
          <w:b/>
          <w:i/>
          <w:color w:val="000000"/>
          <w:sz w:val="20"/>
        </w:rPr>
        <w:t xml:space="preserve">Debt Covenant Compliance - </w:t>
      </w:r>
      <w:r>
        <w:rPr>
          <w:rFonts w:ascii="Arial;sans-serif" w:hAnsi="Arial;sans-serif"/>
          <w:b w:val="false"/>
          <w:color w:val="000000"/>
          <w:sz w:val="20"/>
        </w:rPr>
        <w:t xml:space="preserve">Under the 2024 Credit Facilities, we are required to meet certain financial covenants with respect to (i) total leverage ratio and (ii) minimum interest charge coverage ratio. We were in compliance with our financial covenants as of June 30, 2026. Our ability to service our debt and to fund future strategic initiatives will depend upon our ability to generate cash in the future. For further discussion regarding our 2024 Credit Facilities, refer to Note 6, Debt and Financing Arrangements, to the accompanying unaudited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i/>
          <w:color w:val="000000"/>
          <w:sz w:val="20"/>
        </w:rPr>
        <w:t xml:space="preserve">Use of Capital - </w:t>
      </w:r>
      <w:r>
        <w:rPr>
          <w:rFonts w:ascii="Arial;sans-serif" w:hAnsi="Arial;sans-serif"/>
          <w:b w:val="false"/>
          <w:color w:val="000000"/>
          <w:sz w:val="20"/>
        </w:rPr>
        <w:t>Our overall business objective continues to focus on funding organic growth acceleration and meeting working capital needs. This includes investments in client service delivery and emerging technology that supports revenue growth and improves operational excellence. Following the completion of the Marcum Transaction, our second priority is to pay down debt to have a net leverage ratio of less than 2.5x over time. As a result of the Marcum Transaction and related 2024 Credit Facilities, we have $1,473.5 million of outstanding debt as of June 30, 2026.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During the six months ended June 30, 2026, we completed two acquisition for approximately $14.0 million. During the six months ended June 30, 2026, we repurchased 0.2 million shares of our common stock at a cost of $7.4 million under the ROFR Agreement and 2.1 million shares of our common stock in the open market for $60.1 million. Additionally, to settle statutory employee withholdings related to vesting of stock awards, we repurchased 0.1 million shares of our common stock at a cost of $2.6 million during the six</w:t>
      </w:r>
      <w:r>
        <w:rPr>
          <w:color w:val="000000"/>
        </w:rPr>
        <w:t xml:space="preserve"> </w:t>
      </w:r>
      <w:r>
        <w:rPr>
          <w:rFonts w:ascii="Arial;sans-serif" w:hAnsi="Arial;sans-serif"/>
          <w:b w:val="false"/>
          <w:color w:val="000000"/>
          <w:sz w:val="20"/>
        </w:rPr>
        <w:t>months ended June 30, 2026. During the six months ended June 30, 2025 we repurchased 1.0 million of our common stock for a cost of $71.3 million under the ROFR Agreement and no share repurchases from the open market. To settle statutory employee withholdings related to vesting of stock awards, we repurchased 0.1 million shares at a cost of $7.8 million during the six</w:t>
      </w:r>
      <w:r>
        <w:rPr>
          <w:color w:val="000000"/>
        </w:rPr>
        <w:t xml:space="preserve"> </w:t>
      </w:r>
      <w:r>
        <w:rPr>
          <w:rFonts w:ascii="Arial;sans-serif" w:hAnsi="Arial;sans-serif"/>
          <w:b w:val="false"/>
          <w:color w:val="000000"/>
          <w:sz w:val="20"/>
        </w:rPr>
        <w:t>months ended June 30, 2025.</w:t>
      </w:r>
    </w:p>
    <w:p>
      <w:pPr>
        <w:pStyle w:val="TextBody"/>
        <w:bidi w:val="0"/>
        <w:spacing w:lineRule="auto" w:line="288" w:before="240" w:after="283"/>
        <w:jc w:val="left"/>
        <w:rPr/>
      </w:pPr>
      <w:r>
        <w:rPr>
          <w:rFonts w:ascii="Arial;sans-serif" w:hAnsi="Arial;sans-serif"/>
          <w:b/>
          <w:i/>
          <w:color w:val="000000"/>
          <w:sz w:val="20"/>
        </w:rPr>
        <w:t xml:space="preserve">Cash Requirements - </w:t>
      </w:r>
      <w:r>
        <w:rPr>
          <w:rFonts w:ascii="Arial;sans-serif" w:hAnsi="Arial;sans-serif"/>
          <w:b w:val="false"/>
          <w:color w:val="000000"/>
          <w:sz w:val="20"/>
        </w:rPr>
        <w:t xml:space="preserve">Cash requirements for the remainder of 2026 and beyond will include the repayment of outstanding debt and related interest, share repurchases through both our ROFR Agreement and open market purchases, funding seasonal working capital requirements, making contingent purchase price payments for previous acquisitions, income tax payments, and capital expenditures. We believe that cash provided by operations, as well as available funds under our 2024 Credit Facilities, will be sufficient to meet cash requirements for the remainder of 2026 and beyond.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2025, as amended),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letters of credit to landlords (lessors) of our leased premises in lieu of cash security deposits, which totaled $3.2 million and $3.2 million at June 30, 2026 and December 31, 2025, respectively. In addition, we provide license bonds to various state agencies to meet certain licensing requirements. The amount of license bonds outstanding was $2.1 million and $2.1 million at June 30, 2026 and December 31, 2025,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June 30, 2026, we are not aware of any material obligations arising under indemnification agreements that would require payment.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2025, as amended.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disclosed in Note 14, Goodwill, during the first quarter of 2026, we performed a quantitative assessment of the goodwill associated with our reporting units. Based on the results of the quantitative assessment, we concluded that the estimated fair values of our reporting units immediately after the change in reporting units were in excess of their respective carrying values, and as such, goodwill is not impaired. During the first quarter of 2026, we experienced a decline in the Company's market capitalization. This decline, along with increases in discount rates used in the aforementioned quantitative impairment analysis, reduced the excess of fair value over carrying value of our Financial Accounting Services reporting unit within the Financial Services practice group and of our Property and Casualty reporting unit within our Benefits and Insurance Services practice group as of March 31, 2026. During the second quarter of 2026, the Company's market capitalization improved, and we performed a qualitative assessment of its goodwill and concluded that it was more likely than not the fair values of the Company's reporting units exceeded their respective carrying value, and therefore, goodwill related to the Company's reporting units was determined to not be impaired.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It is possible, depending upon a number of factors that are not determinable at this time or within our control, that the fair values of one or more of our reporting units could decrease in the future and result in an impairment to goodwill, including failure to achieve the anticipated benefits of the Marcum Transaction, significant negative industry or economic trends, disruptions to our business, adverse changes resulting from new governmental regulations, negative impact on client list due to loss of customers, impact on client list due to declining revenue of existing customers, or divestitures. Additionally, further declines in our market capitalization may trigger the need for future impairment tests where the conclusions may differ and could result in the recognition of an impairment charge. Further, any significant adverse change in our near or long-term projections or macroeconomic conditions could result in future impairment charges, which could be material.</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NEW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2, New Accounting Pronouncements, to the accompanying unaudited condensed consolidated financial statements for a discussion of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our financial position, business strategy, plans and objectives for future performance, and statements about the proposed Merger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 differ materially from those projected. Such risks and uncertainties include, but are not limited to: that one or more closing conditions to the proposed Merger, including certain regulatory approvals, may not be satisfied or waived, on a timely basis or otherwise, or that the required approval by the shareholders of CBIZ may not be obtained; the risk that the proposed Merger may not be completed on the terms or in the time frame expected by CBIZ and Parent, or at all; unexpected costs, charges or expenses resulting from the proposed Merger; uncertainty of the expected financial performance and results of operations of the combined company following completion of the proposed Merger; failure to realize the anticipated benefits of the proposed Merger, including as a result of delay in completing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proposed Merger or integrating the businesses of CBIZ and Parent, on the expected timeframe or at all; the ability of the combined company to implement its business strategy; difficulties and delays in the combined company achieving revenue and cost synergies; inability of the combined company to retain and hire key personnel; the occurrence of any event that could give rise to termination of the proposed Merger; the risk that shareholder litigation in connection with the proposed Merger or other litigation, settlements or investigations may affect the timing or completion of the proposed Merger or result in significant costs of defense, indemnification and liability; evolving legal, regulatory and tax regimes; changes in general economic, competitive, technological and/or industry-specific conditions affecting the businesses and industries in which CBIZ and Parent operate; actions by third parties, including government agencies and rating agencies, relating to the proposed Merger; risks that any debt financing anticipated in connection with the proposed Merger is not obtained or that such financing cannot be obtained on the anticipated timing or terms or unexpected costs or expenses in connection therewith; risks related to the disruption of management time from ongoing business operations due to the pendency of the proposed Merger, or other effects of the pendency of the proposed Merger on the relationship of any of the parties to the transaction with their employees, customers, partners, or other counterparties; risks that any announcements relating to the proposed Merger could have adverse effects on the market price of CBIZ’s common stock, credit rating, or operating results, and may have an adverse effect on the ability of CBIZ to retain and hire key personnel, retain customers, and maintain relationships with business partners, suppliers and customers; the risk that the market price of CBIZ’s common stock may decline if the proposed Merger is not completed;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acquired, from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the Marcum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the 2024 Credit Facilities could adversely affect our ability to run our business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reduce stockholder returns; our failure to satisfy covenants in our debt instruments could cause a default under those instruments; our increased leverage following the Marcum Transaction may adversely impact our business; we may be more sensitive to revenue fluctuations than other companies, which could result in fluctuations in the market price of our common stock; the significant number of shares issuable as the stock consideration in the Marcum Transaction may adversely impact our stock price; the future issuance of additional shares could adversely affect the price of our common stock; and there is volatility in our stock price.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Consequently, no forward-looking statement can be guaranteed. Our actual future results may vary materially. All forward-looking statements made in this Quarterly Report on Form 10-Q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(“SEC”). Also note that we provide a cautionary discussion of the risks, uncertainties and possibly inaccurate assumptions relevant to our businesses in “Item 1. Business” and “Item 1A. Risk Factors” in our Annual Report on Form 10-K for the year ended December 31, 2025, as amended. These are factors that we think could cause our actual results to differ materially from expected and historical results. Other factors besides those described could also adversely affect our operating or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floating rate debt under the 2024 Credit Facilities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2024 Credit Facilities. The balance outstanding under our 2024 Credit Facilities at June 30, 2026 was $1,473.5 million, of which $973.5 million was subject to interest rate risk. If market rates were to increase or decrease 100 basis points from the levels at June 30, 2026, interest expense would have increased or decreased approximately $9.7 million annually.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2024 Credit Facilities to a fixed rate basis. These agreements involve the receipt or payment of floating rate amounts in exchange for fixed rate interest payments over the life of the agreements without an exchange of the underlying principal amounts.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we had the following interest rate swaps outstanding (in thousands, except percentages):</w:t>
      </w:r>
    </w:p>
    <w:tbl>
      <w:tblPr>
        <w:tblW w:w="6059" w:type="dxa"/>
        <w:jc w:val="center"/>
        <w:tblInd w:w="0" w:type="dxa"/>
        <w:tblLayout w:type="fixed"/>
        <w:tblCellMar>
          <w:top w:w="28" w:type="dxa"/>
          <w:left w:w="28" w:type="dxa"/>
          <w:bottom w:w="28" w:type="dxa"/>
          <w:right w:w="28" w:type="dxa"/>
        </w:tblCellMar>
      </w:tblPr>
      <w:tblGrid>
        <w:gridCol w:w="631"/>
        <w:gridCol w:w="552"/>
        <w:gridCol w:w="557"/>
        <w:gridCol w:w="211"/>
        <w:gridCol w:w="856"/>
        <w:gridCol w:w="109"/>
        <w:gridCol w:w="109"/>
        <w:gridCol w:w="109"/>
        <w:gridCol w:w="109"/>
        <w:gridCol w:w="314"/>
        <w:gridCol w:w="314"/>
        <w:gridCol w:w="316"/>
        <w:gridCol w:w="109"/>
        <w:gridCol w:w="109"/>
        <w:gridCol w:w="109"/>
        <w:gridCol w:w="354"/>
        <w:gridCol w:w="354"/>
        <w:gridCol w:w="356"/>
        <w:gridCol w:w="109"/>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12/14/2026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8/14/2027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3/14/2030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7/15/2030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Management will continue to evaluate the potential use of interest rate swaps as we deem appropriate under certain operating and market conditions. We do not enter into derivative instruments for trading or speculative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8, Financial Instruments, and Note 9, Fair Value Measurements, to the accompanying unaudited condensed consolidated financial statements for further discussion regarding these investments and the related fair value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 Disclosure 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or submit under the Exchange Act is accumulated and communicated to management, including the CEO and CFO as appropriate, to allow timely decisions regarding required disclosure.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Limitations on the Effectiveness of Controls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Management, including the Company's CEO and CFO, does not expect that its Disclosure Controls or its internal control over financial reporting ("Internal Controls") will prevent all errors and all fraud. Because of its inherent limitations, Internal Controls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Conclusions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Disclosure Controls are designed to provide reasonable assurance of achieving their objectives and, based upon the Controls Evaluation, our CEO and CFO have concluded that as of the end of the period covered by this report, CBIZ’s Disclosure Controls were not effective at that reasonable assurance level because of the material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weaknesses in internal control over financial reporting described below.</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Subsequent to the filing of the Company’s Annual Report on Form 10-K for the year ended December 31, 2025 (as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amended), the Company determined that the total number of shares of common stock purchased and delivered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ESPP to plan participants exceeded the amount authorized under the ESPP and previously registered on Form S-8 registration statements and resulted in an obligation to remediate this matter. In connection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evaluating the impact of the purchase and delivery of the Eligible Shares and the planned voluntary rescission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offer, management identified a material weakness in the Company’s internal control over financial reporting relating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administration of the ESPP (the “ESPP Material Weakness”). In the evaluation, the Company determined that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did not effectively design and implement controls to ensure share purchases and deliveries associated with the ESPP did not exceed the amount authorized under the ESPP and registered with the SEC.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during the fourth quarter of 2025, the Company completed certain organizational reporting changes which resulted in a realignment and re-aggregation of certain reporting units in both the Financial Services and Benefits and Insurance Services practice groups, which resulted in new reporting units that align the internal reporting structure with the services provided by these practice groups. The Company’s reportable segments and overall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number of reporting units did not change as a result of the organizational reporting changes. However, the reporting units within the segments were impacted by the organizational reporting changes. In connection with the controls assessment for the quarter ended June 30, 2026, management identified a material weakness in the Company’s internal control over financial reporting relating to its goodwill reassignment among reporting units for purposes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impairment assessment, which under U.S. GAAP directs that goodwill should be assigned to the affected reporting units based on their relative fair value before the realignment. Management determined that the Company did not maintain the accounting expertise necessary to apply the relevant technical accounting literature and effectively design and implement internal controls over the non-routing goodwill reassignment among reporting units (the “Goodwill Material Weakness,” and together with the ESPP Material Weakness, the “Material Weaknesses”).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 Remediation Plan for Material Weaknesses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Company is committed to addressing the Material Weaknesses and has begun to implement changes designed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improve its internal control over financial reporting and to remediate the Material Weaknesses. With respect to the ESPP Material Weakness, the Company will enhance, redesign and implement new controls designed to ensure the cumulative share purchases, deliveries, and compliance are within authorized share limits. With respect to the Goodwill Material Weakness, the Company will enhance the design of its goodwill review controls, including ensuring professionals with the technical U.S. GAAP knowledge, experience, and training necessary are utilized when accounting for complex, non-routine and infrequently occurring accounting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management continues to evaluate and enhance the Company’s internal control over financial reporting, it may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 additional measures to address control deficiencies or modify certain remediation activities described above.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identified Material Weaknesses will not be considered remediated until the applicable remediated controls have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operated for a sufficient period of time and management has concluded, through testing, that such controls 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effectively.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(d) 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Except for the Material Weaknesses and related remediation measures noted above, there have been no changes to our internal control over financial reporting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are involved in various legal proceedings relating to claims arising out of our operations. As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date hereof, we are not engaged in any legal proceedings that are reasonably expected, individually or in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aggregate, to have a material adverse effect on our business, financial condition, results of operations or cash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flows. See also Note 7,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other information set forth in this Quarterly Report on Form 10-Q, you should carefully consider the factors discussed under “Risk Factors” in the Company’s Annual Report on Form 10-K for the year ended December 31, 2025, as amended and as filed with the SEC. These risks could materially and adversely affect the business, financial condition results of operations and cash flows of CBIZ. There have been no material changes to the risk factors previously disclosed under "Risk Factors" in the Company's Annual Report on Form 10-K for the year ended December 31, 2025, as amended, except for the following:</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Risks Related to the Proposed Merger</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We are subject to a number of risks and uncertainties as a result of the proposed Merger, including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The Proposed Merger may not be completed on the anticipated terms or timeline, or at all.</w:t>
      </w:r>
      <w:r>
        <w:rPr>
          <w:color w:val="000000"/>
        </w:rPr>
        <w:t xml:space="preserve"> </w:t>
      </w:r>
      <w:r>
        <w:rPr>
          <w:rFonts w:ascii="Arial;sans-serif" w:hAnsi="Arial;sans-serif"/>
          <w:b w:val="false"/>
          <w:color w:val="000000"/>
          <w:sz w:val="20"/>
        </w:rPr>
        <w:t>The completion of the proposed Merger (as defined in Note 16. Subsequent Events) is subject to the satisfaction or waiver of a number of conditions, many of which are beyond our control, including receipt of required regulatory approvals; approval of the Merger Agreement (as defined in Note 16. Subsequent Events) by the requisite vote of the Company’s shareholders;</w:t>
      </w:r>
      <w:r>
        <w:rPr>
          <w:color w:val="000000"/>
        </w:rPr>
        <w:t xml:space="preserve"> </w:t>
      </w:r>
      <w:r>
        <w:rPr>
          <w:rFonts w:ascii="Arial;sans-serif" w:hAnsi="Arial;sans-serif"/>
          <w:b w:val="false"/>
          <w:color w:val="000000"/>
          <w:sz w:val="20"/>
        </w:rPr>
        <w:t>the absence of any law or order prohibiting the transaction; and no material adverse effect having occurred since the signing of the Merger Agreement. There can be no assurance that these conditions will be satisfied in a timely manner or at all. If the proposed Merger is not completed, we may experience negative impacts, including the diversion of management attention, potential employee attrition and costs incurred in connection with the transaction, without realizing its anticipated benefits. In addition, our stock price may decline to the extent that the current market price reflects a market assumption about the likelihood and timing of the proposed Merger.</w:t>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The pendency of the proposed Merger could adversely affect our business and operations.</w:t>
      </w:r>
      <w:r>
        <w:rPr>
          <w:color w:val="000000"/>
        </w:rPr>
        <w:t xml:space="preserve"> </w:t>
      </w:r>
      <w:r>
        <w:rPr>
          <w:rFonts w:ascii="Arial;sans-serif" w:hAnsi="Arial;sans-serif"/>
          <w:b w:val="false"/>
          <w:color w:val="000000"/>
          <w:sz w:val="20"/>
        </w:rPr>
        <w:t>Uncertainty about the effect of the proposed Merger on employees, customers and other stakeholders may have an adverse effect on our business. For example, current and prospective employees may experience uncertainty about their roles following the proposed Merger, which could lead to attrition or difficulty in recruiting. In addition, customers may delay or defer decisions, which could have a material adverse effect on our business, results of operations, financial condition and cash flows. Contractual restrictions under the Merger Agreement that require us to operate our business in the ordinary course and limit us from taking certain actions without Parent’s (as defined in Note 16. Subsequent Events) consent may also limit our ability to respond to changing market conditions, pursue new opportunities or take other actions that might be beneficial to our business, which in turn could have a material adverse effect on our business, results of operations, financial condition and cash flows.</w:t>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 xml:space="preserve">Litigation relating to the proposed Merger could result in significant costs and delay completion. </w:t>
      </w:r>
      <w:r>
        <w:rPr>
          <w:rFonts w:ascii="Arial;sans-serif" w:hAnsi="Arial;sans-serif"/>
          <w:b w:val="false"/>
          <w:color w:val="000000"/>
          <w:sz w:val="20"/>
        </w:rPr>
        <w:t>We may be subject to lawsuits related to the Merger Agreement and the proposed Merger. Such litigation could result in significant costs, divert management attention and delay or prevent the completion of the proposed Merger.</w:t>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 xml:space="preserve">If the proposed Merger is completed, our stockholders will forgo the opportunity to realize potential future appreciation in our stock. </w:t>
      </w:r>
      <w:r>
        <w:rPr>
          <w:rFonts w:ascii="Arial;sans-serif" w:hAnsi="Arial;sans-serif"/>
          <w:b w:val="false"/>
          <w:color w:val="000000"/>
          <w:sz w:val="20"/>
        </w:rPr>
        <w:t>Upon completion of the proposed Merger, our stockholders will receive the cash consideration specified in the Merger Agreement and will no longer participate in any future growth or appreciation of our business.</w:t>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We may be required to pay a termination fee under certain circumstances.</w:t>
      </w:r>
      <w:r>
        <w:rPr>
          <w:color w:val="000000"/>
        </w:rPr>
        <w:t xml:space="preserve"> </w:t>
      </w:r>
      <w:r>
        <w:rPr>
          <w:rFonts w:ascii="Arial;sans-serif" w:hAnsi="Arial;sans-serif"/>
          <w:b w:val="false"/>
          <w:color w:val="000000"/>
          <w:sz w:val="20"/>
        </w:rPr>
        <w:t>Upon termination of the Merger Agreement under specified circumstances, the Company will be required to pay to Parent a termination fee. This obligation could discourage alternative transactions that might otherwise be favorable to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 xml:space="preserve">We have incurred, and will continue to incur, direct and indirect costs as a result of the proposed Merger. </w:t>
      </w:r>
      <w:r>
        <w:rPr>
          <w:rFonts w:ascii="Arial;sans-serif" w:hAnsi="Arial;sans-serif"/>
          <w:b w:val="false"/>
          <w:color w:val="000000"/>
          <w:sz w:val="20"/>
        </w:rPr>
        <w:t>We have incurred, and will continue to incur, significant costs and expenses, including regulatory costs, fees for professional services and other transaction costs in connection with the Merger, for which we have received little or no benefit if the proposed Merger is not completed. There are a number of factors beyond our control that could affect the total amount or the timing of these costs and expenses. Many of these fees and costs will be payable by us even if the proposed Merger is not completed and may relate to activities that we would not have undertaken other than to complete the proposed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(a) Recent sales of unregistered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delivered 0.9 million shares of our common stock to the selling shareholders pursuant to the terms of the Marcum Transaction.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pStyle w:val="TextBody"/>
        <w:bidi w:val="0"/>
        <w:spacing w:lineRule="auto" w:line="288" w:before="160" w:after="283"/>
        <w:jc w:val="left"/>
        <w:rPr>
          <w:rFonts w:ascii="Arial;sans-serif" w:hAnsi="Arial;sans-serif"/>
          <w:b/>
          <w:color w:val="212529"/>
          <w:sz w:val="20"/>
          <w:shd w:fill="FFFFFF" w:val="clear"/>
        </w:rPr>
      </w:pPr>
      <w:r>
        <w:rPr>
          <w:rFonts w:ascii="Arial;sans-serif" w:hAnsi="Arial;sans-serif"/>
          <w:b/>
          <w:color w:val="212529"/>
          <w:sz w:val="20"/>
          <w:shd w:fill="FFFFFF" w:val="clear"/>
        </w:rPr>
        <w:t>(b) Shares Purchased and Delivered Under Employee Stock Purchase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discovered that it inadvertently purchased and delivered from October 16, 2023 to April 15, 2026 up to 481,049 shares of its common stock (the “Eligible Shares”) in excess of the number shares available under the Company’s 2007 Employee Stock Purchase Plan (as amended from time to time, the “ESPP”) and registered on Form S-8 registration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July 28, 2026, the Company’s board of directors approved the Company making a voluntary rescission offer to current and former eligible ESPP participants who acquired Eligible Shares pursuant to the ESPP between October 16, 2023 and April 15, 2026 (the “Eligible Participants”). There have been no additional purchases under the ESPP since April 15, 2026. The Company believes that the failure to register a sufficient number of shares of common stock under the ESPP and the planned voluntary rescission offer will not have a material impact on its results of operations, financial condition, or liquidity. The Company currently intends to make the voluntary rescission offer to the Eligible Participates in the third quarter of 2026. This report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(c) Issuer purchases of equity securities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Over the past twenty years, our Board of Directors has renewed and authorized the Company's Share Repurchase Program. On February 11, 2025, the Board of Directors renewed and authorized the Share Repurchase Program, permitting repurchases through March 31, 2026, of up to 5 million shares of our outstanding common stock (i) in the open market, (ii) in privately negotiated transactions, or (iii) under Rule 10b5-1 trading plans. On February 11, 2026, our Board of Directors authorized the continuation of the Share Repurchase Program. It was effective beginning on February 11, 2026, from which the amount of shares of common stock available to be purchased by the Company was reset to 5 million shares, and the Share Repurchase Program expires on March 31, 2027.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Privately negotiated transactions may include purchases from our employees, officers and directors, in accordance with SEC rules. Privately negotiated transactions may also include purchases from former partners of Marcum pursuant to the Company's right, but not obligation, to repurchase any shares issued to such former partners as consideration for the Marcum Transaction, in the event that the former partner intends to sell the shares in an open market transaction in the four years following closing. Rule 10b5-1 trading plans allow for repurchases during periods when we would not normally be active in the trading market due to regulatory restrictions. The Share Repurchase Program does not obligate us to acquire any specific number of shares and may be suspended at any time. Subsequent to entering into the Merger Agreement on July 28, 2026, the Company will not repurchase any shares under the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Shares repurchased under the Share Repurchase Program during the three months ended June 30, 2026 (reported on a trade-date basis) are summarized in the table below (amounts in thousands, except per share data). Average price paid per share includes fees and commissions. </w:t>
      </w:r>
    </w:p>
    <w:tbl>
      <w:tblPr>
        <w:tblW w:w="8527" w:type="dxa"/>
        <w:jc w:val="center"/>
        <w:tblInd w:w="0" w:type="dxa"/>
        <w:tblLayout w:type="fixed"/>
        <w:tblCellMar>
          <w:top w:w="28" w:type="dxa"/>
          <w:left w:w="28" w:type="dxa"/>
          <w:bottom w:w="28" w:type="dxa"/>
          <w:right w:w="28" w:type="dxa"/>
        </w:tblCellMar>
      </w:tblPr>
      <w:tblGrid>
        <w:gridCol w:w="895"/>
        <w:gridCol w:w="787"/>
        <w:gridCol w:w="793"/>
        <w:gridCol w:w="109"/>
        <w:gridCol w:w="109"/>
        <w:gridCol w:w="109"/>
        <w:gridCol w:w="323"/>
        <w:gridCol w:w="323"/>
        <w:gridCol w:w="316"/>
        <w:gridCol w:w="113"/>
        <w:gridCol w:w="113"/>
        <w:gridCol w:w="113"/>
        <w:gridCol w:w="219"/>
        <w:gridCol w:w="671"/>
        <w:gridCol w:w="113"/>
        <w:gridCol w:w="113"/>
        <w:gridCol w:w="113"/>
        <w:gridCol w:w="113"/>
        <w:gridCol w:w="474"/>
        <w:gridCol w:w="474"/>
        <w:gridCol w:w="476"/>
        <w:gridCol w:w="113"/>
        <w:gridCol w:w="113"/>
        <w:gridCol w:w="113"/>
        <w:gridCol w:w="386"/>
        <w:gridCol w:w="386"/>
        <w:gridCol w:w="547"/>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Second Quarter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Number of</w:t>
              <w:br/>
              <w:t>Shares</w:t>
              <w:br/>
              <w:t>Purchased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Price Paid</w:t>
              <w:br/>
              <w:t>Per</w:t>
              <w:br/>
              <w:t>Share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w:t>
              <w:br/>
              <w:t>Purchased as</w:t>
              <w:br/>
              <w:t>Part of Publicly</w:t>
              <w:br/>
              <w:t>Announced Plan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w:t>
              <w:br/>
              <w:t>Number of</w:t>
              <w:br/>
              <w:t>Shares That</w:t>
              <w:br/>
              <w:t>May Yet Be</w:t>
              <w:br/>
              <w:t>Purchased</w:t>
              <w:br/>
              <w:t>Under the Plan</w:t>
            </w:r>
          </w:p>
        </w:tc>
      </w:tr>
      <w:tr>
        <w:trPr/>
        <w:tc>
          <w:tcPr>
            <w:tcW w:w="247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 April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29.27 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47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2,738 </w:t>
            </w:r>
          </w:p>
        </w:tc>
        <w:tc>
          <w:tcPr>
            <w:tcW w:w="5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According to the terms of our 2024 Credit Facilities, our ability to declare or make any dividend payments is limited. Refer to Note 6, Debt and Financing Arrangements, to the condensed consolidated financial statements for a description of working capital restrictions and limitations on the payment of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Other than as described below, during the quarters ended March 31, 2026 and June 30, 2026,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March 11, 2026, A. Haag Sherman, a director of the Company, adopted a plan for the exercise of options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purchase shares of our common stock intended to satisfy the affirmative defense conditions of Rule 10b5-1(c).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Sherman’s plan expires August 4, 2026 and provides for the potential exercise of options to purchase up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50,000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1"/>
        <w:gridCol w:w="204"/>
        <w:gridCol w:w="210"/>
        <w:gridCol w:w="109"/>
        <w:gridCol w:w="109"/>
        <w:gridCol w:w="109"/>
        <w:gridCol w:w="2842"/>
        <w:gridCol w:w="2636"/>
        <w:gridCol w:w="3735"/>
      </w:tblGrid>
      <w:tr>
        <w:trPr/>
        <w:tc>
          <w:tcPr>
            <w:tcW w:w="2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Agreement and Plan of Merger, dated July 28, 2026, by and among CBIZ, Inc., Viking ParentCo, Inc., and Viking MergerCo, Inc.(filed as Exhibit 2.1 to the Company's Current Report Form 8-K, dated July 29, 2026, and incorporated herein by reference).</w:t>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CBIZ, Inc. Change in Control Severance Plan, dated as of July 28, 2026 (filed as Exhibit 10.1 to the Company's Current Report Form 8-K, dated July 29, 2026, and incorporated herein by reference).</w:t>
            </w:r>
          </w:p>
        </w:tc>
      </w:tr>
      <w:tr>
        <w:trPr/>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3" w:type="dxa"/>
            <w:gridSpan w:val="3"/>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2cbiz-eighthamendmentt.htm">
              <w:r>
                <w:rPr>
                  <w:rStyle w:val="InternetLink"/>
                  <w:rFonts w:ascii="Arial;sans-serif" w:hAnsi="Arial;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Eighth Amendment to Loan Agreement, dated July 30, 2026, by and among CBIZ Benefit and Insurance Services, Inc. and Huntington National Bank. </w:t>
            </w:r>
          </w:p>
        </w:tc>
      </w:tr>
      <w:tr>
        <w:trPr/>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3" w:type="dxa"/>
            <w:gridSpan w:val="3"/>
            <w:tcBorders/>
            <w:vAlign w:val="center"/>
          </w:tcPr>
          <w:p>
            <w:pPr>
              <w:pStyle w:val="TableContents"/>
              <w:bidi w:val="0"/>
              <w:spacing w:before="0" w:after="283"/>
              <w:jc w:val="left"/>
              <w:rPr>
                <w:sz w:val="4"/>
                <w:szCs w:val="4"/>
              </w:rPr>
            </w:pPr>
            <w:r>
              <w:rPr>
                <w:sz w:val="4"/>
                <w:szCs w:val="4"/>
              </w:rPr>
            </w:r>
          </w:p>
        </w:tc>
      </w:tr>
      <w:tr>
        <w:trPr/>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3" w:type="dxa"/>
            <w:gridSpan w:val="3"/>
            <w:tcBorders/>
            <w:vAlign w:val="center"/>
          </w:tcPr>
          <w:p>
            <w:pPr>
              <w:pStyle w:val="TableContents"/>
              <w:bidi w:val="0"/>
              <w:spacing w:before="0" w:after="283"/>
              <w:jc w:val="left"/>
              <w:rPr>
                <w:sz w:val="4"/>
                <w:szCs w:val="4"/>
              </w:rPr>
            </w:pPr>
            <w:r>
              <w:rPr>
                <w:sz w:val="4"/>
                <w:szCs w:val="4"/>
              </w:rPr>
            </w:r>
          </w:p>
        </w:tc>
      </w:tr>
      <w:tr>
        <w:trPr/>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3" w:type="dxa"/>
            <w:gridSpan w:val="3"/>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bz-20260630x10qex311.htm">
              <w:r>
                <w:rPr>
                  <w:rStyle w:val="InternetLink"/>
                  <w:rFonts w:ascii="Arial;sans-serif" w:hAnsi="Arial;sans-serif"/>
                  <w:b w:val="false"/>
                  <w:color w:val="0000FF"/>
                  <w:sz w:val="20"/>
                  <w:u w:val="single"/>
                </w:rPr>
                <w:t>Certification of Chief Executive Officer Pursuant to Section 302 of the Sarbanes Oxley Act of 2002.</w:t>
              </w:r>
            </w:hyperlink>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bz-20260630x10qex312.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bz-20260630x10qex321.htm">
              <w:r>
                <w:rPr>
                  <w:rStyle w:val="InternetLink"/>
                  <w:rFonts w:ascii="Arial;sans-serif" w:hAnsi="Arial;sans-serif"/>
                  <w:b w:val="false"/>
                  <w:color w:val="0000FF"/>
                  <w:sz w:val="20"/>
                  <w:u w:val="single"/>
                </w:rPr>
                <w:t>Certification of Chief Executive Officer Pursuant to Section 906 of the Sarbanes-Oxley Act of 2002.</w:t>
              </w:r>
            </w:hyperlink>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bz-20260630x10qex322.htm">
              <w:r>
                <w:rPr>
                  <w:rStyle w:val="InternetLink"/>
                  <w:rFonts w:ascii="Arial;sans-serif" w:hAnsi="Arial;sans-serif"/>
                  <w:b w:val="false"/>
                  <w:color w:val="0000FF"/>
                  <w:sz w:val="20"/>
                  <w:u w:val="single"/>
                </w:rPr>
                <w:t>Certification of Chief Financial Officer Pursuant to Section 906 of the Sarbanes-Oxley Act of 2002.</w:t>
              </w:r>
            </w:hyperlink>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the Exhibit 101 attachments)*</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Indicates documents filed herewith.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Indicates document furnished herewith.</w:t>
      </w:r>
    </w:p>
    <w:p>
      <w:pPr>
        <w:pStyle w:val="TextBody"/>
        <w:bidi w:val="0"/>
        <w:spacing w:lineRule="auto" w:line="268" w:before="120" w:after="283"/>
        <w:jc w:val="left"/>
        <w:rPr/>
      </w:pPr>
      <w:r>
        <w:rPr>
          <w:color w:val="000000"/>
        </w:rPr>
        <w:t>†    </w:t>
      </w:r>
      <w:r>
        <w:rPr>
          <w:rFonts w:ascii="Arial;sans-serif" w:hAnsi="Arial;sans-serif"/>
          <w:b w:val="false"/>
          <w:color w:val="000000"/>
          <w:sz w:val="20"/>
        </w:rPr>
        <w:t>Schedules have been omitted pursuant to Item 601(a)(5) and Item 601(b)(2) of Regulation S-K. The Company hereby undertakes to furnish supplemental copies of any of the omitted schedules upon request by the SEC; provided, however, that the Company may request confidential treatment pursuant to Rule 24b-2 of the Exchange Act, for any schedules so furnished.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58"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1415"/>
        <w:gridCol w:w="1415"/>
        <w:gridCol w:w="201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CBIZ,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BRAD LAKHIA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Brad Lakhia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EIGHTH AMENDMENT TO LOAN AGREEMENT</w:t>
      </w:r>
    </w:p>
    <w:p>
      <w:pPr>
        <w:pStyle w:val="TextBody"/>
        <w:bidi w:val="0"/>
        <w:spacing w:lineRule="auto" w:line="288" w:before="0" w:after="0"/>
        <w:jc w:val="both"/>
        <w:rPr>
          <w:color w:val="000000"/>
        </w:rPr>
      </w:pPr>
      <w:r>
        <w:rPr>
          <w:color w:val="000000"/>
        </w:rPr>
        <w:t>    </w:t>
      </w:r>
    </w:p>
    <w:p>
      <w:pPr>
        <w:pStyle w:val="TextBody"/>
        <w:bidi w:val="0"/>
        <w:spacing w:lineRule="auto" w:line="556" w:before="0" w:after="0"/>
        <w:ind w:left="0" w:right="0" w:firstLine="720"/>
        <w:jc w:val="both"/>
        <w:rPr/>
      </w:pPr>
      <w:r>
        <w:rPr>
          <w:rFonts w:ascii="Times New Roman;serif" w:hAnsi="Times New Roman;serif"/>
          <w:b/>
          <w:color w:val="000000"/>
          <w:sz w:val="24"/>
        </w:rPr>
        <w:t xml:space="preserve">THIS EIGHTH AMENDMENT TO LOAN AGREEMENT </w:t>
      </w:r>
      <w:r>
        <w:rPr>
          <w:rFonts w:ascii="Times New Roman;serif" w:hAnsi="Times New Roman;serif"/>
          <w:b w:val="false"/>
          <w:color w:val="000000"/>
          <w:sz w:val="24"/>
        </w:rPr>
        <w:t>(this “Eighth Amendment”) is made and entered into as of July 30, 2026, by and between CBIZ BENEFITS &amp; INSURANCE SERVICES, INC., a Missouri corporation (the “Borrower”), and THE HUNTINGTON NATIONAL BANK, a national banking association (the “Lender”).</w:t>
      </w:r>
    </w:p>
    <w:p>
      <w:pPr>
        <w:pStyle w:val="TextBody"/>
        <w:bidi w:val="0"/>
        <w:spacing w:lineRule="auto" w:line="556" w:before="0" w:after="0"/>
        <w:jc w:val="center"/>
        <w:rPr/>
      </w:pPr>
      <w:r>
        <w:rPr>
          <w:rFonts w:ascii="Times New Roman;serif" w:hAnsi="Times New Roman;serif"/>
          <w:b/>
          <w:color w:val="000000"/>
          <w:sz w:val="24"/>
          <w:u w:val="single"/>
        </w:rPr>
        <w:t>Recitals</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 xml:space="preserve">A.    The Borrower and the Lender are parties to that certain Loan Agreement dated as of August 16, 2018, as amended by that certain First Amendment to Loan Agreement dated as of August 8, 2019, as further amended by that certain Second Amendment to Loan Agreement dated as of August 6, 2020, as further amended by that certain Third Amendment to Loan Agreement dated as of August 5, 2021, as further amended by that certain Fourth Amendment to Loan Agreement dated as of August 1, 2022, as further amended by that certain Fifth Amendment to Loan Agreement dated as of August 3, 2023, as further amended by that certain Sixth Amendment to Loan Agreement dated as of August 1, 2024, and as further amended by that certain Seventh Amendment to Loan Agreement dated as of July 31, 2025 (the “Loan Agreement”), pursuant to which, </w:t>
      </w:r>
      <w:r>
        <w:rPr>
          <w:rFonts w:ascii="Times New Roman;serif" w:hAnsi="Times New Roman;serif"/>
          <w:b w:val="false"/>
          <w:color w:val="000000"/>
          <w:sz w:val="24"/>
          <w:u w:val="single"/>
        </w:rPr>
        <w:t>inter</w:t>
      </w:r>
      <w:r>
        <w:rPr>
          <w:color w:val="000000"/>
        </w:rPr>
        <w:t xml:space="preserve"> </w:t>
      </w:r>
      <w:r>
        <w:rPr>
          <w:rFonts w:ascii="Times New Roman;serif" w:hAnsi="Times New Roman;serif"/>
          <w:b w:val="false"/>
          <w:color w:val="000000"/>
          <w:sz w:val="24"/>
          <w:u w:val="single"/>
        </w:rPr>
        <w:t>alia</w:t>
      </w:r>
      <w:r>
        <w:rPr>
          <w:rFonts w:ascii="Times New Roman;serif" w:hAnsi="Times New Roman;serif"/>
          <w:b w:val="false"/>
          <w:color w:val="000000"/>
          <w:sz w:val="24"/>
        </w:rPr>
        <w:t>, the Lender agreed, subject to the terms and conditions thereof, to advance Revolving Loans (as this and other capitalized terms used herein but not otherwise defined herein are defined in the Loan Agreement).</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Principal and all accrued interest under the Revolving Loans are due and payable in full on July 30, 2026.</w:t>
      </w:r>
    </w:p>
    <w:p>
      <w:pPr>
        <w:pStyle w:val="TextBody"/>
        <w:bidi w:val="0"/>
        <w:spacing w:lineRule="auto" w:line="556"/>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Borrower has requested that the Lender agree to (i) extend the Revolving Availability Termination Date under the Loan Agreement for three hundred sixty-four (364) days and (ii) amend and modify certain other terms and covenants in the Loan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Subject to the terms and conditions of this Eighth Amendment, the Lender has agreed to such request.</w:t>
      </w:r>
    </w:p>
    <w:p>
      <w:pPr>
        <w:pStyle w:val="TextBody"/>
        <w:bidi w:val="0"/>
        <w:spacing w:lineRule="auto" w:line="556" w:before="0" w:after="0"/>
        <w:jc w:val="center"/>
        <w:rPr/>
      </w:pPr>
      <w:r>
        <w:rPr>
          <w:rFonts w:ascii="Times New Roman;serif" w:hAnsi="Times New Roman;serif"/>
          <w:b/>
          <w:color w:val="000000"/>
          <w:sz w:val="24"/>
          <w:u w:val="single"/>
        </w:rPr>
        <w:t>Agreements</w:t>
      </w:r>
      <w:r>
        <w:rPr>
          <w:rFonts w:ascii="Times New Roman;serif" w:hAnsi="Times New Roman;serif"/>
          <w:b/>
          <w:color w:val="000000"/>
          <w:sz w:val="24"/>
        </w:rPr>
        <w:t>:</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Recitals and the mutual agreements hereinafter set forth, the Borrower and the Lender hereby agree as follows:</w:t>
      </w:r>
    </w:p>
    <w:p>
      <w:pPr>
        <w:pStyle w:val="TextBody"/>
        <w:bidi w:val="0"/>
        <w:spacing w:lineRule="auto" w:line="556"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Amendments to Section 1.01</w:t>
      </w:r>
      <w:r>
        <w:rPr>
          <w:rFonts w:ascii="Times New Roman;serif" w:hAnsi="Times New Roman;serif"/>
          <w:b w:val="false"/>
          <w:color w:val="000000"/>
          <w:sz w:val="24"/>
        </w:rPr>
        <w:t>. The definitions of “Commitment”, “Revolving Availability”, “Revolving Availability Termination Date”, “Syndicated Credit Agreement”, “TM Services Agreement”, and “Total Outstanding Amount” in Section 1.01, “</w:t>
      </w:r>
      <w:r>
        <w:rPr>
          <w:rFonts w:ascii="Times New Roman;serif" w:hAnsi="Times New Roman;serif"/>
          <w:b w:val="false"/>
          <w:color w:val="000000"/>
          <w:sz w:val="24"/>
          <w:u w:val="single"/>
        </w:rPr>
        <w:t>Defined Terms</w:t>
      </w:r>
      <w:r>
        <w:rPr>
          <w:color w:val="000000"/>
        </w:rPr>
        <w:t>”</w:t>
      </w:r>
      <w:r>
        <w:rPr>
          <w:rFonts w:ascii="Times New Roman;serif" w:hAnsi="Times New Roman;serif"/>
          <w:b w:val="false"/>
          <w:color w:val="000000"/>
          <w:sz w:val="24"/>
        </w:rPr>
        <w:t>, of the Loan Agreement are hereby amended and restated to recite as follows:</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“Commitment” means the commitments of the Lender to make two (2) separate Revolving Loans, the first in the amount up to $10,000,000 (“Revolving Loan A”) and the second in the amount up to $10,000,000 (“Revolving Loan B”), each pursuant to Section 2.02 hereunder.</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“Revolving Availability” means on any date an amount equal to the amount of the Commitment in respect of Revolving Loan A and Revolving Loan B, as the case may be, on such date minus the respective Total Outstanding Amount for such Loans on such date. </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“Revolving Availability Termination Date” means the earliest to occur of (i) July 30, 2027, (ii) the date on which the Syndicated Credit Agreement is terminated, and (iii) the date on which the Lender ceases to be a “Lender” under the Syndicated Credit Agreement.</w:t>
      </w:r>
    </w:p>
    <w:p>
      <w:pPr>
        <w:pStyle w:val="TextBody"/>
        <w:bidi w:val="0"/>
        <w:spacing w:lineRule="auto" w:line="556"/>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“Syndicated Credit Agreement” means that certain Amended and Restated Credit Agreement, dated as of November 1, 2024, among CBIZ Operations, Inc., CBIZ,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Inc., the Lenders party thereto, and Bank of America, N.A., as Agent, Issuing Bank, and Swing Line Bank, as amended, modified, supplemented, restated or replaced from time to time.</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“TM Services Agreement” means, collectively, the Authorization and Agreement for Treasury Management Services executed and delivered by the Borrower dated August 16, 2018, as amended, modified, supplemented, restated and/or replaced from time to time, and any other similar agreements signed by the Borrower from time to time.</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“Total Outstanding Amount” means, at any date, as to each of Revolving Loan A and Revolving Loan B, the sum of the aggregate outstanding principal amount of such Revolving Loan at such date.</w:t>
      </w:r>
    </w:p>
    <w:p>
      <w:pPr>
        <w:pStyle w:val="TextBody"/>
        <w:bidi w:val="0"/>
        <w:spacing w:lineRule="auto" w:line="556"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Additional Definitions</w:t>
      </w:r>
      <w:r>
        <w:rPr>
          <w:rFonts w:ascii="Times New Roman;serif" w:hAnsi="Times New Roman;serif"/>
          <w:b w:val="false"/>
          <w:color w:val="000000"/>
          <w:sz w:val="24"/>
        </w:rPr>
        <w:t>. The following defined terms are hereby added to Section 1.01, “</w:t>
      </w:r>
      <w:r>
        <w:rPr>
          <w:rFonts w:ascii="Times New Roman;serif" w:hAnsi="Times New Roman;serif"/>
          <w:b w:val="false"/>
          <w:color w:val="000000"/>
          <w:sz w:val="24"/>
          <w:u w:val="single"/>
        </w:rPr>
        <w:t>Defined Terms</w:t>
      </w:r>
      <w:r>
        <w:rPr>
          <w:color w:val="000000"/>
        </w:rPr>
        <w:t>”</w:t>
      </w:r>
      <w:r>
        <w:rPr>
          <w:rFonts w:ascii="Times New Roman;serif" w:hAnsi="Times New Roman;serif"/>
          <w:b w:val="false"/>
          <w:color w:val="000000"/>
          <w:sz w:val="24"/>
        </w:rPr>
        <w:t>, of the Loan Agreement in their correct alphabetical order and shall recite as follows:</w:t>
      </w:r>
    </w:p>
    <w:p>
      <w:pPr>
        <w:pStyle w:val="TextBody"/>
        <w:bidi w:val="0"/>
        <w:spacing w:lineRule="auto" w:line="556" w:before="0" w:after="0"/>
        <w:ind w:left="0" w:right="0" w:firstLine="720"/>
        <w:jc w:val="both"/>
        <w:rPr>
          <w:color w:val="000000"/>
        </w:rPr>
      </w:pPr>
      <w:r>
        <w:rPr>
          <w:color w:val="000000"/>
        </w:rPr>
        <w:t>    “</w:t>
      </w:r>
      <w:r>
        <w:rPr>
          <w:rFonts w:ascii="Times New Roman;serif" w:hAnsi="Times New Roman;serif"/>
          <w:b w:val="false"/>
          <w:color w:val="000000"/>
          <w:sz w:val="24"/>
        </w:rPr>
        <w:t>Revolving Loan A” is defined in the definition of “Commitment”.</w:t>
      </w:r>
    </w:p>
    <w:p>
      <w:pPr>
        <w:pStyle w:val="TextBody"/>
        <w:bidi w:val="0"/>
        <w:spacing w:lineRule="auto" w:line="556" w:before="0" w:after="0"/>
        <w:ind w:left="0" w:right="0" w:firstLine="720"/>
        <w:jc w:val="both"/>
        <w:rPr>
          <w:color w:val="000000"/>
        </w:rPr>
      </w:pPr>
      <w:r>
        <w:rPr>
          <w:color w:val="000000"/>
        </w:rPr>
        <w:t>    “</w:t>
      </w:r>
      <w:r>
        <w:rPr>
          <w:rFonts w:ascii="Times New Roman;serif" w:hAnsi="Times New Roman;serif"/>
          <w:b w:val="false"/>
          <w:color w:val="000000"/>
          <w:sz w:val="24"/>
        </w:rPr>
        <w:t>Revolving Loan B” is defined in the definition of “Commitment”.</w:t>
      </w:r>
    </w:p>
    <w:p>
      <w:pPr>
        <w:pStyle w:val="TextBody"/>
        <w:bidi w:val="0"/>
        <w:spacing w:lineRule="auto" w:line="556"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Amendment to Section 2.02</w:t>
      </w:r>
      <w:r>
        <w:rPr>
          <w:rFonts w:ascii="Times New Roman;serif" w:hAnsi="Times New Roman;serif"/>
          <w:b w:val="false"/>
          <w:color w:val="000000"/>
          <w:sz w:val="24"/>
        </w:rPr>
        <w:t>. Section 2.02, “</w:t>
      </w:r>
      <w:r>
        <w:rPr>
          <w:rFonts w:ascii="Times New Roman;serif" w:hAnsi="Times New Roman;serif"/>
          <w:b w:val="false"/>
          <w:color w:val="000000"/>
          <w:sz w:val="24"/>
          <w:u w:val="single"/>
        </w:rPr>
        <w:t>Manner of Borrowing Loans</w:t>
      </w:r>
      <w:r>
        <w:rPr>
          <w:color w:val="000000"/>
        </w:rPr>
        <w:t>”</w:t>
      </w:r>
      <w:r>
        <w:rPr>
          <w:rFonts w:ascii="Times New Roman;serif" w:hAnsi="Times New Roman;serif"/>
          <w:b w:val="false"/>
          <w:color w:val="000000"/>
          <w:sz w:val="24"/>
        </w:rPr>
        <w:t>, of the Loan Agreement is hereby amended and restated in its entirety to recite as follows:</w:t>
      </w:r>
    </w:p>
    <w:p>
      <w:pPr>
        <w:pStyle w:val="TextBody"/>
        <w:bidi w:val="0"/>
        <w:spacing w:lineRule="auto" w:line="556"/>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accordance with Section 4 of Part IV of the TM Services Agreement, (i) Revolving Loan A shall be advanced at any time that the daily balance in the Borrower’s demand deposit account number xxxx2372 (or such other demand deposit account specified by the Lender from time to time in writing) falls below Zero Dollars ($0.00) and the principal amount of such Revolving Loan A shall be in the amount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rounded to the nearest Dollar, to bring the balance in such demand deposit account to an amount in excess of Zero Dollars ($0.00) and (ii) Revolving Loan B shall be advanced at any time that the daily balance in the Borrower’s demand deposit account number xxxx6572 (or such other demand deposit account specified by the Lender from time to time in writing) falls below Zero Dollars ($0.00) and the principal amount of such Revolving Loan B shall be in the amount necessary, rounded to the nearest Dollar, to bring the balance in such demand deposit account to an amount in excess of Zero Dollars ($0.00); provided, however, in each of clause (i) and (ii) above, the principal amount of such Revolving Loan shall not be less than Five Thousand Dollars ($5,000).</w:t>
      </w:r>
    </w:p>
    <w:p>
      <w:pPr>
        <w:pStyle w:val="TextBody"/>
        <w:bidi w:val="0"/>
        <w:spacing w:lineRule="auto" w:line="556"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Amendment to Section 2.05</w:t>
      </w:r>
      <w:r>
        <w:rPr>
          <w:rFonts w:ascii="Times New Roman;serif" w:hAnsi="Times New Roman;serif"/>
          <w:b w:val="false"/>
          <w:color w:val="000000"/>
          <w:sz w:val="24"/>
        </w:rPr>
        <w:t>. Clause (e) of Section 2.05, “</w:t>
      </w:r>
      <w:r>
        <w:rPr>
          <w:rFonts w:ascii="Times New Roman;serif" w:hAnsi="Times New Roman;serif"/>
          <w:b w:val="false"/>
          <w:color w:val="000000"/>
          <w:sz w:val="24"/>
          <w:u w:val="single"/>
        </w:rPr>
        <w:t>Payment of Principal; Evidence of Debt</w:t>
      </w:r>
      <w:r>
        <w:rPr>
          <w:color w:val="000000"/>
        </w:rPr>
        <w:t>”</w:t>
      </w:r>
      <w:r>
        <w:rPr>
          <w:rFonts w:ascii="Times New Roman;serif" w:hAnsi="Times New Roman;serif"/>
          <w:b w:val="false"/>
          <w:color w:val="000000"/>
          <w:sz w:val="24"/>
        </w:rPr>
        <w:t>, of the Loan Agreement is hereby amended and restated in its entirety to recite as follows:</w: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(e)    One or more of the Revolving Loans shall be evidenced by a promissory note substantially in the form of Exhibit A hereto.</w:t>
      </w:r>
    </w:p>
    <w:p>
      <w:pPr>
        <w:pStyle w:val="TextBody"/>
        <w:bidi w:val="0"/>
        <w:spacing w:lineRule="auto" w:line="556"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Amendment to Section 2.07</w:t>
      </w:r>
      <w:r>
        <w:rPr>
          <w:rFonts w:ascii="Times New Roman;serif" w:hAnsi="Times New Roman;serif"/>
          <w:b w:val="false"/>
          <w:color w:val="000000"/>
          <w:sz w:val="24"/>
        </w:rPr>
        <w:t>. Section 2.07, “</w:t>
      </w:r>
      <w:r>
        <w:rPr>
          <w:rFonts w:ascii="Times New Roman;serif" w:hAnsi="Times New Roman;serif"/>
          <w:b w:val="false"/>
          <w:color w:val="000000"/>
          <w:sz w:val="24"/>
          <w:u w:val="single"/>
        </w:rPr>
        <w:t>Fees</w:t>
      </w:r>
      <w:r>
        <w:rPr>
          <w:color w:val="000000"/>
        </w:rPr>
        <w:t>”</w:t>
      </w:r>
      <w:r>
        <w:rPr>
          <w:rFonts w:ascii="Times New Roman;serif" w:hAnsi="Times New Roman;serif"/>
          <w:b w:val="false"/>
          <w:color w:val="000000"/>
          <w:sz w:val="24"/>
        </w:rPr>
        <w:t>, of the Loan Agreement is hereby amended and restated in its entirety to recite as follows:</w:t>
      </w:r>
    </w:p>
    <w:p>
      <w:pPr>
        <w:pStyle w:val="TextBody"/>
        <w:bidi w:val="0"/>
        <w:spacing w:lineRule="auto" w:line="556"/>
        <w:ind w:left="0" w:right="0" w:firstLine="60"/>
        <w:jc w:val="both"/>
        <w:rPr>
          <w:rFonts w:ascii="Times New Roman;serif" w:hAnsi="Times New Roman;serif"/>
          <w:b w:val="false"/>
          <w:color w:val="000000"/>
          <w:sz w:val="24"/>
        </w:rPr>
      </w:pPr>
      <w:r>
        <w:rPr>
          <w:rFonts w:ascii="Times New Roman;serif" w:hAnsi="Times New Roman;serif"/>
          <w:b w:val="false"/>
          <w:color w:val="000000"/>
          <w:sz w:val="24"/>
        </w:rPr>
        <w:t>The Borrower shall pay to the Lender monthly in advance on the first day of each month, commencing on August 1, 2026, the following fees which shall be deemed fully earned and non-refundable when paid: (a) with respect to Revolving Loan A, a monthly maintenance fee in the amount of Two Hundred Seventy-Five Dollars ($275.00); and (b) with respect to Revolving Loan B, a monthly maintenance fee in the amount of Two Hundred Seventy-Five Dollars ($275.00).</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Effective Date; Conditions Precedent</w:t>
      </w:r>
      <w:r>
        <w:rPr>
          <w:rFonts w:ascii="Times New Roman;serif" w:hAnsi="Times New Roman;serif"/>
          <w:b w:val="false"/>
          <w:color w:val="000000"/>
          <w:sz w:val="24"/>
        </w:rPr>
        <w:t>. The modifications to the Loan Agreement set forth in Sections 1 through 4, above, shall not be effective unless and until the date on which the Borrower has satisfied all of the following conditions precedent (such date of effectiveness being the “Eighth Amendment Effective Date”):</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Lender shall have received counterparts of this Eighth Amendment executed by the Borrower.</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On the Eighth Amendment Effective Date and after giving effect to the amendments contained herein (i) there shall exist no Event of Default, and (ii) the representations and warranties of the Borrower under the Loan Agreement, as amended by this Eighth Amendment, shall be true and correct as of the Eighth Amendment Effective Date (except to the extent that any such representation and warranty refers to an earlier date, in which case such representation and warranty is true and correct as of such earlier date), subject only to variances therefrom acceptable to the Lender; and</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Lender shall have received satisfactory evidence that all corporate and other proceedings that are necessary in connection with this Eighth Amendment have been taken to the Lender’s and its counsel’s satisfaction, and the Lender and such counsel shall have received all such counterpart originals or certified copies of such documents as the Lender may request.</w:t>
      </w:r>
    </w:p>
    <w:p>
      <w:pPr>
        <w:pStyle w:val="TextBody"/>
        <w:bidi w:val="0"/>
        <w:spacing w:lineRule="auto" w:line="556"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Other Loan Documents</w:t>
      </w:r>
      <w:r>
        <w:rPr>
          <w:rFonts w:ascii="Times New Roman;serif" w:hAnsi="Times New Roman;serif"/>
          <w:b w:val="false"/>
          <w:color w:val="000000"/>
          <w:sz w:val="24"/>
        </w:rPr>
        <w:t>. Any reference to the Loan Agreement in any of the Loan Documents shall, from and after the Eighth Amendment Effective Date, be deemed to refer to the Loan Agreement, as modified by this Eighth Amendment.</w:t>
      </w:r>
    </w:p>
    <w:p>
      <w:pPr>
        <w:pStyle w:val="TextBody"/>
        <w:bidi w:val="0"/>
        <w:spacing w:lineRule="auto" w:line="556"/>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Confirmation of Debt; No Novation</w:t>
      </w:r>
      <w:r>
        <w:rPr>
          <w:rFonts w:ascii="Times New Roman;serif" w:hAnsi="Times New Roman;serif"/>
          <w:b w:val="false"/>
          <w:color w:val="000000"/>
          <w:sz w:val="24"/>
        </w:rPr>
        <w:t xml:space="preserve">. The Borrower hereby affirms all of its liabilities and obligations to the Lender under the Loan Agreement, as modified hereby, and that such liabilities and obligations are owed to the Lender. The Borrower further acknowledges and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agrees that as of the date hereof, it has no claims, defenses or set-off rights against the Lender of any nature whatsoever, whether sounding in tort, contract or otherwise; and there are no claims, defenses or set-offs to the enforcement by the Lender of the liabilities and obligations of the Borrower to the Lender under the Loan Agreement or any of the Loan Documents. It is the intention of the parties hereto that this Eighth Amendment shall not constitute a termination of the Loan Agreement, nor shall it extinguish the obligations for the payment of the Loans or any obligations and/or any other amounts due under the Loan Agreement or any other Loan Document, or discharge or release the performance of any party under any Loan Document. It is the intention of the parties hereto that nothing herein contained or in the Loan Agreement, as amended hereby, shall be construed as a substitution, novation, release or discharge of (x) any of the Loans or Revolving Loans or other obligations outstanding under the Loan Agreement or (y) any of the obligations outstanding under any other Loan Document, each of which shall remain in full force and effect, except to any extent modified hereby.</w:t>
      </w:r>
    </w:p>
    <w:p>
      <w:pPr>
        <w:pStyle w:val="TextBody"/>
        <w:bidi w:val="0"/>
        <w:spacing w:lineRule="auto" w:line="556" w:before="0" w:after="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Lender’s Expense</w:t>
      </w:r>
      <w:r>
        <w:rPr>
          <w:rFonts w:ascii="Times New Roman;serif" w:hAnsi="Times New Roman;serif"/>
          <w:b w:val="false"/>
          <w:color w:val="000000"/>
          <w:sz w:val="24"/>
        </w:rPr>
        <w:t xml:space="preserve">. The Borrower agrees to reimburse the Lender promptly for its costs and expenses incurred in connection with this Eighth Amendment and the transactions contemplated hereby, including, without limitation, its attorneys’ fees. </w:t>
      </w:r>
    </w:p>
    <w:p>
      <w:pPr>
        <w:pStyle w:val="TextBody"/>
        <w:bidi w:val="0"/>
        <w:spacing w:lineRule="auto" w:line="556"/>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No Other Modifications; Same Indebtedness; No Waiver</w:t>
      </w:r>
      <w:r>
        <w:rPr>
          <w:rFonts w:ascii="Times New Roman;serif" w:hAnsi="Times New Roman;serif"/>
          <w:b w:val="false"/>
          <w:color w:val="000000"/>
          <w:sz w:val="24"/>
        </w:rPr>
        <w:t xml:space="preserve">. Except as expressly provided in this Eighth Amendment, all of the terms and conditions of the Loan Agreement and the other Loan Documents remain unchanged and in full force and effect. The effectiveness of the Eighth Amendment shall neither operate as a waiver of any right, power or remedy of the Lender under the Loan Agreement or any of the other Loan Documents, nor constitute a waiver of any Default or Event of Default thereunder. The modifications effected by this Eighth Amendment and by the other instruments contemplated hereby shall not be deemed to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for or effect a repayment and re-advance of any of the Revolving Loans now outstanding, it being the intention of the Borrower and the Lender hereby that the indebtedness owing under the Loan Agreement, as amended by this Eighth Amendment, be and hereby is the same indebtedness as that owing under the Loan Agreement immediately prior to the effectiveness hereof.</w:t>
      </w:r>
    </w:p>
    <w:p>
      <w:pPr>
        <w:pStyle w:val="TextBody"/>
        <w:bidi w:val="0"/>
        <w:spacing w:lineRule="auto" w:line="556" w:before="0" w:after="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 Binding Effect</w:t>
      </w:r>
      <w:r>
        <w:rPr>
          <w:rFonts w:ascii="Times New Roman;serif" w:hAnsi="Times New Roman;serif"/>
          <w:b w:val="false"/>
          <w:color w:val="000000"/>
          <w:sz w:val="24"/>
        </w:rPr>
        <w:t>. This Eighth Amendment shall be governed by and construed in accordance with the laws of the State of Ohio and shall be binding upon and inure to the benefit of the Borrower and the Lender and their respective successors and assigns.</w:t>
      </w:r>
    </w:p>
    <w:p>
      <w:pPr>
        <w:pStyle w:val="TextBody"/>
        <w:bidi w:val="0"/>
        <w:spacing w:lineRule="auto" w:line="556" w:before="0" w:after="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Eighth Amendment may be executed in separate counterparts, each of which shall be deemed to be an original, and all of which together shall be deemed a fully executed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right"/>
                        <w:rPr/>
                      </w:pPr>
                      <w:r>
                        <w:rPr/>
                      </w:r>
                    </w:p>
                  </w:txbxContent>
                </v:textbox>
                <w10:wrap type="none"/>
              </v:rect>
            </w:pict>
          </mc:Fallback>
        </mc:AlternateConten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Borrower and the Lender have hereunto set their hands as of the date first above written. </w:t>
      </w:r>
    </w:p>
    <w:p>
      <w:pPr>
        <w:pStyle w:val="TextBody"/>
        <w:bidi w:val="0"/>
        <w:spacing w:before="0" w:after="0"/>
        <w:ind w:left="0" w:right="0" w:firstLine="4230"/>
        <w:jc w:val="both"/>
        <w:rPr/>
      </w:pPr>
      <w:r>
        <w:rPr/>
      </w:r>
    </w:p>
    <w:p>
      <w:pPr>
        <w:pStyle w:val="TextBody"/>
        <w:bidi w:val="0"/>
        <w:spacing w:lineRule="auto" w:line="288" w:before="0" w:after="0"/>
        <w:ind w:left="0" w:right="0" w:firstLine="4230"/>
        <w:jc w:val="both"/>
        <w:rPr>
          <w:rFonts w:ascii="Times New Roman;serif" w:hAnsi="Times New Roman;serif"/>
          <w:b/>
          <w:color w:val="000000"/>
          <w:sz w:val="24"/>
        </w:rPr>
      </w:pPr>
      <w:r>
        <w:rPr>
          <w:rFonts w:ascii="Times New Roman;serif" w:hAnsi="Times New Roman;serif"/>
          <w:b/>
          <w:color w:val="000000"/>
          <w:sz w:val="24"/>
        </w:rPr>
        <w:t xml:space="preserve">CBIZ BENEFITS &amp; INSURANCE SERVICES, </w:t>
      </w:r>
    </w:p>
    <w:p>
      <w:pPr>
        <w:pStyle w:val="TextBody"/>
        <w:bidi w:val="0"/>
        <w:spacing w:lineRule="auto" w:line="288" w:before="0" w:after="0"/>
        <w:ind w:left="0" w:right="0" w:firstLine="4230"/>
        <w:jc w:val="both"/>
        <w:rPr>
          <w:rFonts w:ascii="Times New Roman;serif" w:hAnsi="Times New Roman;serif"/>
          <w:b/>
          <w:color w:val="000000"/>
          <w:sz w:val="24"/>
        </w:rPr>
      </w:pPr>
      <w:r>
        <w:rPr>
          <w:rFonts w:ascii="Times New Roman;serif" w:hAnsi="Times New Roman;serif"/>
          <w:b/>
          <w:color w:val="000000"/>
          <w:sz w:val="24"/>
        </w:rPr>
        <w:t>INC.</w:t>
      </w:r>
    </w:p>
    <w:p>
      <w:pPr>
        <w:pStyle w:val="TextBody"/>
        <w:bidi w:val="0"/>
        <w:spacing w:before="0" w:after="0"/>
        <w:ind w:left="0" w:right="0" w:firstLine="4230"/>
        <w:jc w:val="both"/>
        <w:rPr/>
      </w:pPr>
      <w:r>
        <w:rPr/>
      </w:r>
    </w:p>
    <w:p>
      <w:pPr>
        <w:pStyle w:val="TextBody"/>
        <w:bidi w:val="0"/>
        <w:spacing w:before="0" w:after="0"/>
        <w:ind w:left="0" w:right="0" w:firstLine="4230"/>
        <w:jc w:val="both"/>
        <w:rPr/>
      </w:pPr>
      <w:r>
        <w:rPr/>
      </w:r>
    </w:p>
    <w:p>
      <w:pPr>
        <w:pStyle w:val="TextBody"/>
        <w:bidi w:val="0"/>
        <w:spacing w:lineRule="auto" w:line="288" w:before="0" w:after="0"/>
        <w:ind w:left="0" w:right="0" w:firstLine="423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__________________________________</w:t>
      </w:r>
    </w:p>
    <w:p>
      <w:pPr>
        <w:pStyle w:val="TextBody"/>
        <w:bidi w:val="0"/>
        <w:spacing w:lineRule="auto" w:line="288" w:before="0" w:after="0"/>
        <w:ind w:left="0" w:right="0" w:firstLine="4230"/>
        <w:jc w:val="both"/>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ind w:left="0" w:right="0" w:firstLine="4230"/>
        <w:jc w:val="both"/>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THE HUNTINGTON NATIONAL BANK</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right"/>
                        <w:rPr/>
                      </w:pPr>
                      <w:r>
                        <w:rPr/>
                      </w:r>
                    </w:p>
                  </w:txbxContent>
                </v:textbox>
                <w10:wrap type="none"/>
              </v:rect>
            </w:pict>
          </mc:Fallback>
        </mc:AlternateContent>
      </w:r>
    </w:p>
    <w:p>
      <w:pPr>
        <w:pStyle w:val="TextBody"/>
        <w:bidi w:val="0"/>
        <w:spacing w:before="0" w:after="283"/>
        <w:jc w:val="left"/>
        <w:rPr/>
      </w:pPr>
      <w:r>
        <w:rPr/>
        <w:drawing>
          <wp:inline distT="0" distB="0" distL="0" distR="0">
            <wp:extent cx="5943600" cy="190500"/>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4"/>
                    <a:stretch>
                      <a:fillRect/>
                    </a:stretch>
                  </pic:blipFill>
                  <pic:spPr bwMode="auto">
                    <a:xfrm>
                      <a:off x="0" y="0"/>
                      <a:ext cx="5943600" cy="1905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pPr>
      <w:r>
        <w:rPr>
          <w:rFonts w:ascii="Times New Roman;serif" w:hAnsi="Times New Roman;serif"/>
          <w:b/>
          <w:color w:val="000000"/>
          <w:sz w:val="20"/>
        </w:rPr>
        <w:t>CERTIFICATION OF CHIEF EXECUTIVE OFFICER OF CBIZ, INC</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Jerome P. Grisko, Jr.,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CBIZ,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5053" w:type="dxa"/>
        <w:jc w:val="left"/>
        <w:tblInd w:w="0" w:type="dxa"/>
        <w:tblLayout w:type="fixed"/>
        <w:tblCellMar>
          <w:top w:w="28" w:type="dxa"/>
          <w:left w:w="28" w:type="dxa"/>
          <w:bottom w:w="28" w:type="dxa"/>
          <w:right w:w="28" w:type="dxa"/>
        </w:tblCellMar>
      </w:tblPr>
      <w:tblGrid>
        <w:gridCol w:w="667"/>
        <w:gridCol w:w="587"/>
        <w:gridCol w:w="590"/>
        <w:gridCol w:w="940"/>
        <w:gridCol w:w="940"/>
        <w:gridCol w:w="132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JEROME P. GRISKO, JR.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Jerome P. Grisko, Jr.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OF CBIZ,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Brad Lakhia,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CBIZ,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3853" w:type="dxa"/>
        <w:jc w:val="left"/>
        <w:tblInd w:w="0" w:type="dxa"/>
        <w:tblLayout w:type="fixed"/>
        <w:tblCellMar>
          <w:top w:w="28" w:type="dxa"/>
          <w:left w:w="28" w:type="dxa"/>
          <w:bottom w:w="28" w:type="dxa"/>
          <w:right w:w="28" w:type="dxa"/>
        </w:tblCellMar>
      </w:tblPr>
      <w:tblGrid>
        <w:gridCol w:w="667"/>
        <w:gridCol w:w="587"/>
        <w:gridCol w:w="590"/>
        <w:gridCol w:w="588"/>
        <w:gridCol w:w="588"/>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 LAKHIA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 Lakhia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OF CBIZ,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provided pursuant to 18 U.S.C. § 1350, as adopted pursuant to § 906 of the Sarbanes-Oxley Act of 2002, and accompanies the Quarterly Report on Form 10-Q for the period ended June 30, 2026 (the “Form 10-Q”) of CBIZ, Inc. (the “Issuer”) filed with the Securities and Exchange Commission on the date 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Jerome P. Grisko, Jr., the President and Chief Executive Officer of the Issuer, certify that to the best of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(i)the Form 10-Q fully complies with the requirements of Section 13(a) or Section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10-Q fairly presents, in all material respects, the financial condition and results of operations of the Issuer.</w:t>
      </w:r>
    </w:p>
    <w:p>
      <w:pPr>
        <w:pStyle w:val="TextBody"/>
        <w:bidi w:val="0"/>
        <w:spacing w:before="120" w:after="283"/>
        <w:ind w:left="0" w:right="0" w:hanging="360"/>
        <w:jc w:val="left"/>
        <w:rPr/>
      </w:pPr>
      <w:r>
        <w:rPr/>
      </w:r>
    </w:p>
    <w:tbl>
      <w:tblPr>
        <w:tblW w:w="5053" w:type="dxa"/>
        <w:jc w:val="left"/>
        <w:tblInd w:w="0" w:type="dxa"/>
        <w:tblLayout w:type="fixed"/>
        <w:tblCellMar>
          <w:top w:w="28" w:type="dxa"/>
          <w:left w:w="28" w:type="dxa"/>
          <w:bottom w:w="28" w:type="dxa"/>
          <w:right w:w="28" w:type="dxa"/>
        </w:tblCellMar>
      </w:tblPr>
      <w:tblGrid>
        <w:gridCol w:w="667"/>
        <w:gridCol w:w="587"/>
        <w:gridCol w:w="590"/>
        <w:gridCol w:w="937"/>
        <w:gridCol w:w="937"/>
        <w:gridCol w:w="13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JEROME P. GRISKO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Jerome P. Grisko, Jr.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OF CBIZ,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provided pursuant to 18 U.S.C. § 1350, as adopted pursuant to § 906 of the Sarbanes-Oxley Act of 2002, and accompanies the Quarterly Report on Form 10-Q for the period ended June 30, 2026 (the “Form 10-Q”) of CBIZ, Inc. (the “Issuer”) filed with the Securities and Exchange Commission on the date 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Brad Lakhia, the Chief Financial Officer of the Issuer, certify that to the best of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(i)the Form 10-Q fully complies with the requirements of Section 13(a) or Section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10-Q fairly presents, in all material respects, the financial condition and results of operations of the Issuer.</w:t>
      </w:r>
    </w:p>
    <w:p>
      <w:pPr>
        <w:pStyle w:val="TextBody"/>
        <w:bidi w:val="0"/>
        <w:spacing w:before="120" w:after="283"/>
        <w:ind w:left="0" w:right="0" w:hanging="360"/>
        <w:jc w:val="left"/>
        <w:rPr/>
      </w:pPr>
      <w:r>
        <w:rPr/>
      </w:r>
    </w:p>
    <w:tbl>
      <w:tblPr>
        <w:tblW w:w="3853" w:type="dxa"/>
        <w:jc w:val="left"/>
        <w:tblInd w:w="0" w:type="dxa"/>
        <w:tblLayout w:type="fixed"/>
        <w:tblCellMar>
          <w:top w:w="28" w:type="dxa"/>
          <w:left w:w="28" w:type="dxa"/>
          <w:bottom w:w="28" w:type="dxa"/>
          <w:right w:w="28" w:type="dxa"/>
        </w:tblCellMar>
      </w:tblPr>
      <w:tblGrid>
        <w:gridCol w:w="667"/>
        <w:gridCol w:w="587"/>
        <w:gridCol w:w="590"/>
        <w:gridCol w:w="588"/>
        <w:gridCol w:w="588"/>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 LAKHIA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 Lakhia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44148/000119312526322225/d174772dex21.htm" TargetMode="External"/><Relationship Id="rId3" Type="http://schemas.openxmlformats.org/officeDocument/2006/relationships/hyperlink" Target="https://www.sec.gov/Archives/edgar/data/944148/000119312526322225/d174772dex101.htm" TargetMode="Externa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27808</Words>
  <Characters>151437</Characters>
  <CharactersWithSpaces>177420</CharactersWithSpaces>
  <Paragraphs>3403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